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4053" w14:textId="18EF0854" w:rsidR="00DD48D5" w:rsidRDefault="008934E7" w:rsidP="00DD48D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314674" wp14:editId="1EFB86C8">
            <wp:simplePos x="0" y="0"/>
            <wp:positionH relativeFrom="column">
              <wp:posOffset>-914400</wp:posOffset>
            </wp:positionH>
            <wp:positionV relativeFrom="paragraph">
              <wp:posOffset>-901700</wp:posOffset>
            </wp:positionV>
            <wp:extent cx="7792085" cy="9906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80"/>
                    <a:stretch/>
                  </pic:blipFill>
                  <pic:spPr bwMode="auto">
                    <a:xfrm>
                      <a:off x="0" y="0"/>
                      <a:ext cx="7796132" cy="991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9B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28"/>
          <w:szCs w:val="28"/>
        </w:rPr>
        <w:softHyphen/>
      </w:r>
      <w:r w:rsidR="0099009B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28"/>
          <w:szCs w:val="28"/>
        </w:rPr>
        <w:softHyphen/>
      </w:r>
      <w:r w:rsidR="0099009B">
        <w:rPr>
          <w:rFonts w:asciiTheme="minorHAnsi" w:eastAsiaTheme="minorEastAsia" w:hAnsi="Calibri" w:cstheme="minorBidi"/>
          <w:b/>
          <w:noProof/>
          <w:color w:val="000000" w:themeColor="text1"/>
          <w:kern w:val="24"/>
          <w:sz w:val="28"/>
          <w:szCs w:val="28"/>
        </w:rPr>
        <w:softHyphen/>
      </w:r>
    </w:p>
    <w:p w14:paraId="25575BDC" w14:textId="2D5BC425" w:rsidR="00DD48D5" w:rsidRDefault="00DD48D5" w:rsidP="00DD48D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5B9F3312" w14:textId="5D9CAEE1" w:rsidR="00C50E88" w:rsidRPr="00696548" w:rsidRDefault="0057290C" w:rsidP="00DD48D5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National Business Administration </w:t>
      </w:r>
      <w:r w:rsidR="00C50E88" w:rsidRPr="00696548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Standards</w:t>
      </w:r>
      <w:r w:rsidR="00086CE0" w:rsidRPr="00696548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: Executive Summary</w:t>
      </w:r>
    </w:p>
    <w:p w14:paraId="05772477" w14:textId="77777777" w:rsidR="00C50E88" w:rsidRDefault="00C50E88" w:rsidP="00C50E8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14:paraId="05DC2574" w14:textId="77777777" w:rsidR="005D6E6D" w:rsidRPr="00696548" w:rsidRDefault="00C50E88" w:rsidP="00696548">
      <w:pPr>
        <w:pStyle w:val="NormalWeb"/>
        <w:spacing w:before="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MBA Research focuses its research, curriculum and instructional materials design, and assessment activities on </w:t>
      </w:r>
      <w:r w:rsidRPr="006965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four business-related clusters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: </w:t>
      </w:r>
    </w:p>
    <w:p w14:paraId="063FB8AC" w14:textId="77777777" w:rsidR="0057352F" w:rsidRPr="00696548" w:rsidRDefault="0057352F" w:rsidP="006965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57352F" w:rsidRPr="0069654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EE843B" w14:textId="7E5461FA" w:rsidR="005D6E6D" w:rsidRPr="00696548" w:rsidRDefault="00C50E88" w:rsidP="006965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Business Management </w:t>
      </w:r>
    </w:p>
    <w:p w14:paraId="059C85F0" w14:textId="77777777" w:rsidR="005D6E6D" w:rsidRPr="00696548" w:rsidRDefault="00C50E88" w:rsidP="00696548">
      <w:pPr>
        <w:pStyle w:val="NormalWeb"/>
        <w:numPr>
          <w:ilvl w:val="0"/>
          <w:numId w:val="1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Finance</w:t>
      </w:r>
    </w:p>
    <w:p w14:paraId="03FC5142" w14:textId="3515B927" w:rsidR="005D6E6D" w:rsidRPr="00696548" w:rsidRDefault="00C50E88" w:rsidP="0069654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Hospitality and Tourism</w:t>
      </w:r>
      <w:r w:rsidR="0057290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Management</w:t>
      </w:r>
    </w:p>
    <w:p w14:paraId="4D114A82" w14:textId="77777777" w:rsidR="005D6E6D" w:rsidRPr="00696548" w:rsidRDefault="00C50E88" w:rsidP="00696548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Marketing</w:t>
      </w:r>
    </w:p>
    <w:p w14:paraId="694BD8AD" w14:textId="77777777" w:rsidR="0057352F" w:rsidRPr="00696548" w:rsidRDefault="0057352F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57352F" w:rsidRPr="00696548" w:rsidSect="0057352F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8A99517" w14:textId="77777777" w:rsid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B6DEFE6" w14:textId="3CC9530C" w:rsidR="00243112" w:rsidRDefault="00290DCF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Our</w:t>
      </w:r>
      <w:r w:rsidR="00C50E88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research efforts incorporate both primary and secondary research </w:t>
      </w:r>
      <w:r w:rsidR="00CA2CDB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based on </w:t>
      </w:r>
      <w:r w:rsidR="00C50E88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business sources rather than educational sources. </w:t>
      </w:r>
      <w:r w:rsidR="00C50E88" w:rsidRPr="006965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Business-based research</w:t>
      </w:r>
      <w:r w:rsidR="00C50E88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provides a mechanism for the identification of current, actual skills and knowledge needed by employees in the workplace. </w:t>
      </w:r>
    </w:p>
    <w:p w14:paraId="1283B5F9" w14:textId="77777777" w:rsidR="00696548" w:rsidRP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50A7E1BA" w14:textId="39E5517B" w:rsidR="00695084" w:rsidRPr="00696548" w:rsidRDefault="00C50E88" w:rsidP="00696548">
      <w:pPr>
        <w:pStyle w:val="NormalWeb"/>
        <w:spacing w:before="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These research efforts resulted in the identification of similar, overlapping skills and knowledge across the four</w:t>
      </w:r>
      <w:r w:rsidR="00F20931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clusters. This common know-how</w:t>
      </w:r>
      <w:r w:rsidR="00A66CB7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F20931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is the </w:t>
      </w:r>
      <w:r w:rsidR="00F20931" w:rsidRPr="006965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Business Administration Core</w:t>
      </w:r>
      <w:r w:rsidR="00F93F36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, c</w:t>
      </w:r>
      <w:r w:rsidR="00F20931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omposed of the following </w:t>
      </w:r>
      <w:r w:rsidR="00C7232A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Instructional Areas:</w:t>
      </w:r>
      <w:r w:rsidR="00F20931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454B8C32" w14:textId="77777777" w:rsidR="00A9093B" w:rsidRPr="00696548" w:rsidRDefault="00A9093B" w:rsidP="006965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A9093B" w:rsidRPr="00696548" w:rsidSect="0057352F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07D9C8" w14:textId="3ADC5EEB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Business Law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(BL)</w:t>
      </w:r>
    </w:p>
    <w:p w14:paraId="6224A17F" w14:textId="0D52B57F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Communication Skills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(CO)</w:t>
      </w:r>
    </w:p>
    <w:p w14:paraId="1E3A5C26" w14:textId="53DDC037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Customer Relations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(CR)</w:t>
      </w:r>
    </w:p>
    <w:p w14:paraId="56C0C36D" w14:textId="0496EFAF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Economics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(EC)</w:t>
      </w:r>
    </w:p>
    <w:p w14:paraId="35754AC6" w14:textId="41B8BE53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Emotional Intelligence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(EI)</w:t>
      </w:r>
    </w:p>
    <w:p w14:paraId="446FC3D9" w14:textId="7C0D2473" w:rsidR="00695084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Entrepreneurship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(EN)</w:t>
      </w:r>
    </w:p>
    <w:p w14:paraId="63083A11" w14:textId="2E3CA4B7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Financial Analysis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(FI)</w:t>
      </w:r>
    </w:p>
    <w:p w14:paraId="1D823D74" w14:textId="2EB9BDC0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Human Resources Managemen</w:t>
      </w:r>
      <w:r w:rsidR="006140A2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(HR)</w:t>
      </w:r>
    </w:p>
    <w:p w14:paraId="0948F0E9" w14:textId="001FA73E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Information Management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(NF)</w:t>
      </w:r>
    </w:p>
    <w:p w14:paraId="35A3B088" w14:textId="09317A5E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Marketing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(MK)</w:t>
      </w:r>
    </w:p>
    <w:p w14:paraId="0915516B" w14:textId="0FC234D7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Operations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(OP)</w:t>
      </w:r>
    </w:p>
    <w:p w14:paraId="2A5CEB38" w14:textId="78B1CFC4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Professional Development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(PD)</w:t>
      </w:r>
    </w:p>
    <w:p w14:paraId="533EBB56" w14:textId="705F833F" w:rsidR="006140A2" w:rsidRPr="00696548" w:rsidRDefault="00F20931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Strategic Management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(SM)</w:t>
      </w:r>
    </w:p>
    <w:p w14:paraId="1A1F512D" w14:textId="77777777" w:rsidR="00A9093B" w:rsidRPr="00696548" w:rsidRDefault="00A9093B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A9093B" w:rsidRPr="00696548" w:rsidSect="00C74C4C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998DF2" w14:textId="77777777" w:rsid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C751950" w14:textId="308B6BC9" w:rsidR="00243112" w:rsidRDefault="00F20931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Each of the four clusters contains content that is common to its pathways and is known as the </w:t>
      </w:r>
      <w:r w:rsidRPr="00696548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Cluster Core</w:t>
      </w:r>
      <w:r w:rsidR="00A66CB7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Each of the clusters is composed of </w:t>
      </w:r>
      <w:r w:rsidR="0057290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multiple</w:t>
      </w:r>
      <w:r w:rsidR="0057290C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="0051574D" w:rsidRPr="005157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</w:t>
      </w:r>
      <w:r w:rsidRPr="005157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athways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and each </w:t>
      </w:r>
      <w:r w:rsidR="0051574D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athway contains content that is common to the jobs in it</w:t>
      </w:r>
      <w:r w:rsidR="00A66CB7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. 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Finally, there is content that is specific to a product</w:t>
      </w:r>
      <w:r w:rsidR="0057290C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or service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known as </w:t>
      </w:r>
      <w:r w:rsidRPr="005157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Specialties</w:t>
      </w:r>
      <w:r w:rsidR="00A66CB7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45C9D258" w14:textId="77777777" w:rsidR="00696548" w:rsidRP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793ACF0C" w14:textId="6A97596D" w:rsidR="007566D8" w:rsidRDefault="00F20931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Instruction should be designed to </w:t>
      </w:r>
      <w:r w:rsidRPr="0051574D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move from general to specific</w:t>
      </w:r>
      <w:r w:rsidR="00F95E8E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, setting up the high school curriculum around the content in the Business Administration Core and the Cluster Core. As </w:t>
      </w:r>
      <w:proofErr w:type="spellStart"/>
      <w:r w:rsidR="00F95E8E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students</w:t>
      </w:r>
      <w:proofErr w:type="spellEnd"/>
      <w:r w:rsidR="00F95E8E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progress in their education, they should acquire content increasingly more specific to their area of interest in business.</w:t>
      </w:r>
      <w:r w:rsidR="00086CE0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4B4E942C" w14:textId="77777777" w:rsidR="00696548" w:rsidRP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4A39456C" w14:textId="2FA86EA7" w:rsidR="00054DC8" w:rsidRPr="00696548" w:rsidRDefault="00F95E8E" w:rsidP="00696548">
      <w:pPr>
        <w:pStyle w:val="NormalWeb"/>
        <w:spacing w:before="0" w:beforeAutospacing="0" w:after="12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The content within each of the </w:t>
      </w:r>
      <w:r w:rsidR="00DD02A7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four clusters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is organized into </w:t>
      </w:r>
      <w:r w:rsidRPr="00557C4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Standards</w:t>
      </w:r>
      <w:r w:rsidR="00BB2CA5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/Instructional Areas</w:t>
      </w:r>
      <w:r w:rsidRPr="00557C4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, Performance Elements, Performance Indicators, and Objectives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. Each Performance Indicator is assigned to a curriculum</w:t>
      </w:r>
      <w:r w:rsidR="00016052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planning level based on the job level at which it is first needed within businesses. These </w:t>
      </w:r>
      <w:r w:rsidRPr="00557C4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curriculum</w:t>
      </w:r>
      <w:r w:rsidR="0001605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  <w:r w:rsidRPr="00557C4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2"/>
          <w:szCs w:val="22"/>
        </w:rPr>
        <w:t>planning levels progress from simple to complex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and are: </w:t>
      </w:r>
    </w:p>
    <w:p w14:paraId="63818FAA" w14:textId="77777777" w:rsidR="00B20652" w:rsidRPr="00696548" w:rsidRDefault="00B20652" w:rsidP="0069654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B20652" w:rsidRPr="00696548" w:rsidSect="00A9093B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97BABF" w14:textId="7755514E" w:rsidR="00054DC8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Prerequisite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(PQ)</w:t>
      </w:r>
    </w:p>
    <w:p w14:paraId="16CE8E64" w14:textId="78B18D46" w:rsidR="00054DC8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Career-</w:t>
      </w:r>
      <w:r w:rsidR="00E4419B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</w:t>
      </w: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ustaining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(CS)</w:t>
      </w:r>
    </w:p>
    <w:p w14:paraId="15E500AA" w14:textId="00018DE5" w:rsidR="00054DC8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108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Specialist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(SP)</w:t>
      </w:r>
    </w:p>
    <w:p w14:paraId="78010FA6" w14:textId="047EBEC4" w:rsidR="00054DC8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Supervisor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(SU)</w:t>
      </w:r>
    </w:p>
    <w:p w14:paraId="2262FC4E" w14:textId="2D22C843" w:rsidR="00054DC8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Manager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(MN)</w:t>
      </w:r>
    </w:p>
    <w:p w14:paraId="7BA38664" w14:textId="769D8A2B" w:rsidR="00B20652" w:rsidRPr="00696548" w:rsidRDefault="00F95E8E" w:rsidP="00696548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Owner</w:t>
      </w:r>
      <w:r w:rsidR="00026A3F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(ON)</w:t>
      </w:r>
    </w:p>
    <w:p w14:paraId="24E41CC2" w14:textId="77777777" w:rsidR="00B20652" w:rsidRPr="00696548" w:rsidRDefault="00B20652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sectPr w:rsidR="00B20652" w:rsidRPr="00696548" w:rsidSect="00B20652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9415D9" w14:textId="77777777" w:rsidR="00696548" w:rsidRDefault="00696548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</w:p>
    <w:p w14:paraId="6D8ED2B9" w14:textId="68026E6A" w:rsidR="00C50E88" w:rsidRPr="00696548" w:rsidRDefault="00F95E8E" w:rsidP="0069654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</w:pPr>
      <w:r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MBA Research’s philosophy is that the curriculum should be organized from simple to complex, thereby enabling students to acquire foundational understanding and skill</w:t>
      </w:r>
      <w:r w:rsidR="00086CE0" w:rsidRPr="00696548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 xml:space="preserve"> before they acquire more advanced skills.</w:t>
      </w:r>
    </w:p>
    <w:sectPr w:rsidR="00C50E88" w:rsidRPr="00696548" w:rsidSect="00A9093B">
      <w:head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6344" w14:textId="77777777" w:rsidR="00111BAE" w:rsidRDefault="00111BAE" w:rsidP="00652D13">
      <w:pPr>
        <w:spacing w:after="0" w:line="240" w:lineRule="auto"/>
      </w:pPr>
      <w:r>
        <w:separator/>
      </w:r>
    </w:p>
  </w:endnote>
  <w:endnote w:type="continuationSeparator" w:id="0">
    <w:p w14:paraId="0CBE3B19" w14:textId="77777777" w:rsidR="00111BAE" w:rsidRDefault="00111BAE" w:rsidP="0065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3DB7" w14:textId="77777777" w:rsidR="00652D13" w:rsidRDefault="00652D13">
    <w:pPr>
      <w:pStyle w:val="Footer"/>
      <w:rPr>
        <w:rStyle w:val="jsgrdq"/>
      </w:rPr>
    </w:pPr>
  </w:p>
  <w:p w14:paraId="3883A611" w14:textId="028D3503" w:rsidR="00652D13" w:rsidRPr="00A252E9" w:rsidRDefault="007540D1" w:rsidP="004373BF">
    <w:pPr>
      <w:pStyle w:val="Footer"/>
      <w:jc w:val="center"/>
      <w:rPr>
        <w:rFonts w:cstheme="minorHAnsi"/>
        <w:sz w:val="18"/>
        <w:szCs w:val="18"/>
      </w:rPr>
    </w:pPr>
    <w:r w:rsidRPr="007540D1">
      <w:rPr>
        <w:rFonts w:cstheme="minorHAnsi"/>
        <w:color w:val="242424"/>
        <w:sz w:val="18"/>
        <w:szCs w:val="18"/>
        <w:shd w:val="clear" w:color="auto" w:fill="FFFFFF"/>
      </w:rPr>
      <w:t>©</w:t>
    </w:r>
    <w:r w:rsidR="004373BF" w:rsidRPr="00A252E9">
      <w:rPr>
        <w:rFonts w:cstheme="minorHAnsi"/>
        <w:color w:val="242424"/>
        <w:sz w:val="18"/>
        <w:szCs w:val="18"/>
        <w:shd w:val="clear" w:color="auto" w:fill="FFFFFF"/>
      </w:rPr>
      <w:t xml:space="preserve"> </w:t>
    </w:r>
    <w:r w:rsidR="00A65A61">
      <w:rPr>
        <w:rFonts w:cstheme="minorHAnsi"/>
        <w:color w:val="242424"/>
        <w:sz w:val="18"/>
        <w:szCs w:val="18"/>
        <w:shd w:val="clear" w:color="auto" w:fill="FFFFFF"/>
      </w:rPr>
      <w:t>2023</w:t>
    </w:r>
    <w:r w:rsidR="00A252E9" w:rsidRPr="00A252E9">
      <w:rPr>
        <w:rFonts w:cstheme="minorHAnsi"/>
        <w:color w:val="242424"/>
        <w:sz w:val="18"/>
        <w:szCs w:val="18"/>
        <w:shd w:val="clear" w:color="auto" w:fill="FFFFFF"/>
      </w:rPr>
      <w:t>, MBA Research &amp; Curriculum Center®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DD0C2" w14:textId="77777777" w:rsidR="00111BAE" w:rsidRDefault="00111BAE" w:rsidP="00652D13">
      <w:pPr>
        <w:spacing w:after="0" w:line="240" w:lineRule="auto"/>
      </w:pPr>
      <w:r>
        <w:separator/>
      </w:r>
    </w:p>
  </w:footnote>
  <w:footnote w:type="continuationSeparator" w:id="0">
    <w:p w14:paraId="3F7AF169" w14:textId="77777777" w:rsidR="00111BAE" w:rsidRDefault="00111BAE" w:rsidP="0065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4E1B17" w14:paraId="1DB8A816" w14:textId="77777777" w:rsidTr="254E1B17">
      <w:trPr>
        <w:trHeight w:val="300"/>
      </w:trPr>
      <w:tc>
        <w:tcPr>
          <w:tcW w:w="3120" w:type="dxa"/>
        </w:tcPr>
        <w:p w14:paraId="771AE6B0" w14:textId="32A398B0" w:rsidR="254E1B17" w:rsidRDefault="254E1B17" w:rsidP="254E1B17">
          <w:pPr>
            <w:pStyle w:val="Header"/>
            <w:ind w:left="-115"/>
          </w:pPr>
        </w:p>
      </w:tc>
      <w:tc>
        <w:tcPr>
          <w:tcW w:w="3120" w:type="dxa"/>
        </w:tcPr>
        <w:p w14:paraId="6A38ACB1" w14:textId="1F9C1EEC" w:rsidR="254E1B17" w:rsidRDefault="254E1B17" w:rsidP="254E1B17">
          <w:pPr>
            <w:pStyle w:val="Header"/>
            <w:jc w:val="center"/>
          </w:pPr>
        </w:p>
      </w:tc>
      <w:tc>
        <w:tcPr>
          <w:tcW w:w="3120" w:type="dxa"/>
        </w:tcPr>
        <w:p w14:paraId="1856544E" w14:textId="2D3F0C29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192BBDDF" w14:textId="6A47B251" w:rsidR="254E1B17" w:rsidRDefault="254E1B17" w:rsidP="254E1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254E1B17" w14:paraId="5E753E1C" w14:textId="77777777" w:rsidTr="254E1B17">
      <w:trPr>
        <w:trHeight w:val="300"/>
      </w:trPr>
      <w:tc>
        <w:tcPr>
          <w:tcW w:w="1440" w:type="dxa"/>
        </w:tcPr>
        <w:p w14:paraId="3D3007B5" w14:textId="7EA7AD18" w:rsidR="254E1B17" w:rsidRDefault="254E1B17" w:rsidP="254E1B17">
          <w:pPr>
            <w:pStyle w:val="Header"/>
            <w:ind w:left="-115"/>
          </w:pPr>
        </w:p>
      </w:tc>
      <w:tc>
        <w:tcPr>
          <w:tcW w:w="1440" w:type="dxa"/>
        </w:tcPr>
        <w:p w14:paraId="6637DDBE" w14:textId="768039AE" w:rsidR="254E1B17" w:rsidRDefault="254E1B17" w:rsidP="254E1B17">
          <w:pPr>
            <w:pStyle w:val="Header"/>
            <w:jc w:val="center"/>
          </w:pPr>
        </w:p>
      </w:tc>
      <w:tc>
        <w:tcPr>
          <w:tcW w:w="1440" w:type="dxa"/>
        </w:tcPr>
        <w:p w14:paraId="60BE401E" w14:textId="0D4BC0EA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1BAD3F25" w14:textId="02EC773C" w:rsidR="254E1B17" w:rsidRDefault="254E1B17" w:rsidP="254E1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4E1B17" w14:paraId="1BD6442B" w14:textId="77777777" w:rsidTr="254E1B17">
      <w:trPr>
        <w:trHeight w:val="300"/>
      </w:trPr>
      <w:tc>
        <w:tcPr>
          <w:tcW w:w="3120" w:type="dxa"/>
        </w:tcPr>
        <w:p w14:paraId="3972035C" w14:textId="1444A46E" w:rsidR="254E1B17" w:rsidRDefault="254E1B17" w:rsidP="254E1B17">
          <w:pPr>
            <w:pStyle w:val="Header"/>
            <w:ind w:left="-115"/>
          </w:pPr>
        </w:p>
      </w:tc>
      <w:tc>
        <w:tcPr>
          <w:tcW w:w="3120" w:type="dxa"/>
        </w:tcPr>
        <w:p w14:paraId="11002D36" w14:textId="541553B6" w:rsidR="254E1B17" w:rsidRDefault="254E1B17" w:rsidP="254E1B17">
          <w:pPr>
            <w:pStyle w:val="Header"/>
            <w:jc w:val="center"/>
          </w:pPr>
        </w:p>
      </w:tc>
      <w:tc>
        <w:tcPr>
          <w:tcW w:w="3120" w:type="dxa"/>
        </w:tcPr>
        <w:p w14:paraId="556C195A" w14:textId="41A8A572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6239F4AD" w14:textId="13AE2F0A" w:rsidR="254E1B17" w:rsidRDefault="254E1B17" w:rsidP="254E1B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254E1B17" w14:paraId="07273531" w14:textId="77777777" w:rsidTr="254E1B17">
      <w:trPr>
        <w:trHeight w:val="300"/>
      </w:trPr>
      <w:tc>
        <w:tcPr>
          <w:tcW w:w="1440" w:type="dxa"/>
        </w:tcPr>
        <w:p w14:paraId="3233EC74" w14:textId="341F6602" w:rsidR="254E1B17" w:rsidRDefault="254E1B17" w:rsidP="254E1B17">
          <w:pPr>
            <w:pStyle w:val="Header"/>
            <w:ind w:left="-115"/>
          </w:pPr>
        </w:p>
      </w:tc>
      <w:tc>
        <w:tcPr>
          <w:tcW w:w="1440" w:type="dxa"/>
        </w:tcPr>
        <w:p w14:paraId="7A21300A" w14:textId="28619031" w:rsidR="254E1B17" w:rsidRDefault="254E1B17" w:rsidP="254E1B17">
          <w:pPr>
            <w:pStyle w:val="Header"/>
            <w:jc w:val="center"/>
          </w:pPr>
        </w:p>
      </w:tc>
      <w:tc>
        <w:tcPr>
          <w:tcW w:w="1440" w:type="dxa"/>
        </w:tcPr>
        <w:p w14:paraId="7D61B192" w14:textId="4C27275B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5DBEEE11" w14:textId="0676B086" w:rsidR="254E1B17" w:rsidRDefault="254E1B17" w:rsidP="254E1B1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4E1B17" w14:paraId="516A973B" w14:textId="77777777" w:rsidTr="254E1B17">
      <w:trPr>
        <w:trHeight w:val="300"/>
      </w:trPr>
      <w:tc>
        <w:tcPr>
          <w:tcW w:w="3120" w:type="dxa"/>
        </w:tcPr>
        <w:p w14:paraId="7A9F62C2" w14:textId="5E60B2EB" w:rsidR="254E1B17" w:rsidRDefault="254E1B17" w:rsidP="254E1B17">
          <w:pPr>
            <w:pStyle w:val="Header"/>
            <w:ind w:left="-115"/>
          </w:pPr>
        </w:p>
      </w:tc>
      <w:tc>
        <w:tcPr>
          <w:tcW w:w="3120" w:type="dxa"/>
        </w:tcPr>
        <w:p w14:paraId="6C3A7B93" w14:textId="2BEE5879" w:rsidR="254E1B17" w:rsidRDefault="254E1B17" w:rsidP="254E1B17">
          <w:pPr>
            <w:pStyle w:val="Header"/>
            <w:jc w:val="center"/>
          </w:pPr>
        </w:p>
      </w:tc>
      <w:tc>
        <w:tcPr>
          <w:tcW w:w="3120" w:type="dxa"/>
        </w:tcPr>
        <w:p w14:paraId="2A21D0CB" w14:textId="0F926D83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3AA9EDBF" w14:textId="1E747C9D" w:rsidR="254E1B17" w:rsidRDefault="254E1B17" w:rsidP="254E1B1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440"/>
      <w:gridCol w:w="1440"/>
      <w:gridCol w:w="1440"/>
    </w:tblGrid>
    <w:tr w:rsidR="254E1B17" w14:paraId="2B2146CA" w14:textId="77777777" w:rsidTr="254E1B17">
      <w:trPr>
        <w:trHeight w:val="300"/>
      </w:trPr>
      <w:tc>
        <w:tcPr>
          <w:tcW w:w="1440" w:type="dxa"/>
        </w:tcPr>
        <w:p w14:paraId="01814AF7" w14:textId="2DF1670F" w:rsidR="254E1B17" w:rsidRDefault="254E1B17" w:rsidP="254E1B17">
          <w:pPr>
            <w:pStyle w:val="Header"/>
            <w:ind w:left="-115"/>
          </w:pPr>
        </w:p>
      </w:tc>
      <w:tc>
        <w:tcPr>
          <w:tcW w:w="1440" w:type="dxa"/>
        </w:tcPr>
        <w:p w14:paraId="1ECFC81A" w14:textId="3BF67336" w:rsidR="254E1B17" w:rsidRDefault="254E1B17" w:rsidP="254E1B17">
          <w:pPr>
            <w:pStyle w:val="Header"/>
            <w:jc w:val="center"/>
          </w:pPr>
        </w:p>
      </w:tc>
      <w:tc>
        <w:tcPr>
          <w:tcW w:w="1440" w:type="dxa"/>
        </w:tcPr>
        <w:p w14:paraId="5CBF9B7A" w14:textId="0AA5E419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2D05A9D0" w14:textId="5CB6F563" w:rsidR="254E1B17" w:rsidRDefault="254E1B17" w:rsidP="254E1B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4E1B17" w14:paraId="45A5E502" w14:textId="77777777" w:rsidTr="254E1B17">
      <w:trPr>
        <w:trHeight w:val="300"/>
      </w:trPr>
      <w:tc>
        <w:tcPr>
          <w:tcW w:w="3120" w:type="dxa"/>
        </w:tcPr>
        <w:p w14:paraId="6A736BD2" w14:textId="533B30F5" w:rsidR="254E1B17" w:rsidRDefault="254E1B17" w:rsidP="254E1B17">
          <w:pPr>
            <w:pStyle w:val="Header"/>
            <w:ind w:left="-115"/>
          </w:pPr>
        </w:p>
      </w:tc>
      <w:tc>
        <w:tcPr>
          <w:tcW w:w="3120" w:type="dxa"/>
        </w:tcPr>
        <w:p w14:paraId="0D8E8256" w14:textId="53E53C54" w:rsidR="254E1B17" w:rsidRDefault="254E1B17" w:rsidP="254E1B17">
          <w:pPr>
            <w:pStyle w:val="Header"/>
            <w:jc w:val="center"/>
          </w:pPr>
        </w:p>
      </w:tc>
      <w:tc>
        <w:tcPr>
          <w:tcW w:w="3120" w:type="dxa"/>
        </w:tcPr>
        <w:p w14:paraId="2A343224" w14:textId="5BCD9933" w:rsidR="254E1B17" w:rsidRDefault="254E1B17" w:rsidP="254E1B17">
          <w:pPr>
            <w:pStyle w:val="Header"/>
            <w:ind w:right="-115"/>
            <w:jc w:val="right"/>
          </w:pPr>
        </w:p>
      </w:tc>
    </w:tr>
  </w:tbl>
  <w:p w14:paraId="5066C62E" w14:textId="45252E10" w:rsidR="254E1B17" w:rsidRDefault="254E1B17" w:rsidP="254E1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328"/>
    <w:multiLevelType w:val="hybridMultilevel"/>
    <w:tmpl w:val="22F8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274D"/>
    <w:multiLevelType w:val="hybridMultilevel"/>
    <w:tmpl w:val="2452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30441">
    <w:abstractNumId w:val="0"/>
  </w:num>
  <w:num w:numId="2" w16cid:durableId="1592002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88"/>
    <w:rsid w:val="00016052"/>
    <w:rsid w:val="00026A3F"/>
    <w:rsid w:val="00054DC8"/>
    <w:rsid w:val="000824D4"/>
    <w:rsid w:val="00086CE0"/>
    <w:rsid w:val="00111BAE"/>
    <w:rsid w:val="00190ECB"/>
    <w:rsid w:val="00243112"/>
    <w:rsid w:val="00290DCF"/>
    <w:rsid w:val="0030506C"/>
    <w:rsid w:val="00395B6E"/>
    <w:rsid w:val="00434EC1"/>
    <w:rsid w:val="004373BF"/>
    <w:rsid w:val="0051574D"/>
    <w:rsid w:val="00557C46"/>
    <w:rsid w:val="0057290C"/>
    <w:rsid w:val="0057352F"/>
    <w:rsid w:val="00596B40"/>
    <w:rsid w:val="005D6E6D"/>
    <w:rsid w:val="005E37F7"/>
    <w:rsid w:val="006140A2"/>
    <w:rsid w:val="00635DAF"/>
    <w:rsid w:val="00652D13"/>
    <w:rsid w:val="00695084"/>
    <w:rsid w:val="00696548"/>
    <w:rsid w:val="007540D1"/>
    <w:rsid w:val="007566D8"/>
    <w:rsid w:val="00804323"/>
    <w:rsid w:val="008262A8"/>
    <w:rsid w:val="008934E7"/>
    <w:rsid w:val="0099009B"/>
    <w:rsid w:val="009A1745"/>
    <w:rsid w:val="00A168D7"/>
    <w:rsid w:val="00A252E9"/>
    <w:rsid w:val="00A65A61"/>
    <w:rsid w:val="00A66CB7"/>
    <w:rsid w:val="00A9093B"/>
    <w:rsid w:val="00AA3C04"/>
    <w:rsid w:val="00B140D1"/>
    <w:rsid w:val="00B20652"/>
    <w:rsid w:val="00B242BC"/>
    <w:rsid w:val="00B87175"/>
    <w:rsid w:val="00BB2CA5"/>
    <w:rsid w:val="00BF08BE"/>
    <w:rsid w:val="00C50E88"/>
    <w:rsid w:val="00C7232A"/>
    <w:rsid w:val="00C74C4C"/>
    <w:rsid w:val="00CA2CDB"/>
    <w:rsid w:val="00D16E29"/>
    <w:rsid w:val="00D63FF7"/>
    <w:rsid w:val="00DD02A7"/>
    <w:rsid w:val="00DD48D5"/>
    <w:rsid w:val="00E4419B"/>
    <w:rsid w:val="00E676FA"/>
    <w:rsid w:val="00E90081"/>
    <w:rsid w:val="00F20931"/>
    <w:rsid w:val="00F93F36"/>
    <w:rsid w:val="00F95E8E"/>
    <w:rsid w:val="00FF139B"/>
    <w:rsid w:val="254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B88D"/>
  <w15:docId w15:val="{78D136E8-6584-4A9B-A7F4-A51900A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13"/>
  </w:style>
  <w:style w:type="paragraph" w:styleId="Footer">
    <w:name w:val="footer"/>
    <w:basedOn w:val="Normal"/>
    <w:link w:val="FooterChar"/>
    <w:uiPriority w:val="99"/>
    <w:unhideWhenUsed/>
    <w:rsid w:val="0065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13"/>
  </w:style>
  <w:style w:type="character" w:customStyle="1" w:styleId="jsgrdq">
    <w:name w:val="jsgrdq"/>
    <w:basedOn w:val="DefaultParagraphFont"/>
    <w:rsid w:val="00652D13"/>
  </w:style>
  <w:style w:type="character" w:styleId="CommentReference">
    <w:name w:val="annotation reference"/>
    <w:basedOn w:val="DefaultParagraphFont"/>
    <w:uiPriority w:val="99"/>
    <w:semiHidden/>
    <w:unhideWhenUsed/>
    <w:rsid w:val="00572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9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90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2090</Characters>
  <Application>Microsoft Office Word</Application>
  <DocSecurity>0</DocSecurity>
  <Lines>63</Lines>
  <Paragraphs>35</Paragraphs>
  <ScaleCrop>false</ScaleCrop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Osteen</dc:creator>
  <cp:lastModifiedBy>Rachel Tennison</cp:lastModifiedBy>
  <cp:revision>2</cp:revision>
  <cp:lastPrinted>2012-11-06T18:13:00Z</cp:lastPrinted>
  <dcterms:created xsi:type="dcterms:W3CDTF">2023-05-03T21:07:00Z</dcterms:created>
  <dcterms:modified xsi:type="dcterms:W3CDTF">2023-05-03T21:07:00Z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195c0597101ac7389be124831ae32cf5e4358953d6bc5030cf876a24f5b6ee05</vt:lpwstr>
  </property>
</Properties>
</file>