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DCF33" w14:textId="77777777" w:rsidR="00953A82" w:rsidRPr="000B1DAA" w:rsidRDefault="00953A82" w:rsidP="00953A82">
      <w:pPr>
        <w:keepNext/>
        <w:spacing w:after="0" w:line="240" w:lineRule="auto"/>
        <w:ind w:left="-540" w:right="-540"/>
        <w:jc w:val="center"/>
        <w:outlineLvl w:val="5"/>
        <w:rPr>
          <w:rFonts w:eastAsia="Times New Roman" w:cs="Arial"/>
          <w:i/>
          <w:sz w:val="40"/>
        </w:rPr>
      </w:pPr>
      <w:bookmarkStart w:id="0" w:name="appa"/>
      <w:bookmarkEnd w:id="0"/>
      <w:r w:rsidRPr="00953A82">
        <w:rPr>
          <w:rFonts w:eastAsia="Times New Roman" w:cs="Arial"/>
          <w:b/>
          <w:bCs/>
          <w:sz w:val="44"/>
        </w:rPr>
        <w:t xml:space="preserve">Guide to the </w:t>
      </w:r>
      <w:r>
        <w:rPr>
          <w:rFonts w:eastAsia="Times New Roman" w:cs="Arial"/>
          <w:b/>
          <w:bCs/>
          <w:sz w:val="44"/>
        </w:rPr>
        <w:t xml:space="preserve">National </w:t>
      </w:r>
      <w:r w:rsidRPr="00953A82">
        <w:rPr>
          <w:rFonts w:eastAsia="Times New Roman" w:cs="Arial"/>
          <w:b/>
          <w:bCs/>
          <w:sz w:val="44"/>
        </w:rPr>
        <w:t>Business Administration Standards</w:t>
      </w:r>
      <w:r w:rsidRPr="00953A82">
        <w:rPr>
          <w:rFonts w:eastAsia="Times New Roman" w:cs="Arial"/>
          <w:b/>
          <w:bCs/>
          <w:i/>
          <w:sz w:val="44"/>
        </w:rPr>
        <w:t xml:space="preserve"> </w:t>
      </w:r>
      <w:r w:rsidRPr="000B1DAA">
        <w:rPr>
          <w:rFonts w:eastAsia="Times New Roman" w:cs="Arial"/>
          <w:b/>
          <w:bCs/>
          <w:i/>
          <w:sz w:val="40"/>
        </w:rPr>
        <w:br/>
      </w:r>
    </w:p>
    <w:p w14:paraId="3BED1EF3" w14:textId="564954FF" w:rsidR="00F910A5" w:rsidRPr="00BB04C7" w:rsidRDefault="00F910A5" w:rsidP="00F910A5">
      <w:pPr>
        <w:shd w:val="clear" w:color="auto" w:fill="FFFFFF"/>
        <w:spacing w:after="150" w:line="300" w:lineRule="atLeast"/>
        <w:ind w:left="-540" w:right="-540"/>
        <w:rPr>
          <w:rFonts w:eastAsia="Times New Roman" w:cs="Helvetica"/>
          <w:color w:val="333333"/>
          <w:sz w:val="28"/>
          <w:szCs w:val="24"/>
        </w:rPr>
      </w:pPr>
      <w:r w:rsidRPr="00BB04C7">
        <w:rPr>
          <w:rFonts w:eastAsia="Times New Roman" w:cs="Helvetica"/>
          <w:b/>
          <w:bCs/>
          <w:color w:val="333333"/>
          <w:sz w:val="28"/>
          <w:szCs w:val="24"/>
        </w:rPr>
        <w:t>Business-Related Clusters</w:t>
      </w:r>
    </w:p>
    <w:p w14:paraId="771021D8" w14:textId="55F8EB7D" w:rsidR="00E037DF" w:rsidRPr="000B1DAA" w:rsidRDefault="00E037DF" w:rsidP="00F25E31">
      <w:pPr>
        <w:spacing w:after="150" w:line="240" w:lineRule="auto"/>
        <w:ind w:left="-540" w:right="-540"/>
        <w:outlineLvl w:val="2"/>
        <w:rPr>
          <w:rFonts w:ascii="Calibri" w:eastAsia="Times New Roman" w:hAnsi="Calibri" w:cs="Helvetica"/>
          <w:b/>
          <w:bCs/>
          <w:color w:val="333333"/>
          <w:sz w:val="32"/>
        </w:rPr>
      </w:pPr>
      <w:r>
        <w:t>MBA Research focuses its research, curriculum and instructional-materials design, and assessment activities on three</w:t>
      </w:r>
      <w:r w:rsidR="00F910A5">
        <w:t xml:space="preserve"> distinct</w:t>
      </w:r>
      <w:r>
        <w:t xml:space="preserve"> business-related clusters: </w:t>
      </w:r>
    </w:p>
    <w:p w14:paraId="3F2C10BB" w14:textId="224F916A" w:rsidR="00E037DF" w:rsidRPr="00F910A5" w:rsidRDefault="00E037DF" w:rsidP="00F25E31">
      <w:pPr>
        <w:numPr>
          <w:ilvl w:val="0"/>
          <w:numId w:val="2"/>
        </w:numPr>
        <w:shd w:val="clear" w:color="auto" w:fill="FFFFFF"/>
        <w:spacing w:after="150" w:line="240" w:lineRule="auto"/>
        <w:ind w:left="173" w:right="-547"/>
        <w:rPr>
          <w:rFonts w:eastAsia="Times New Roman" w:cs="Helvetica"/>
          <w:color w:val="333333"/>
        </w:rPr>
      </w:pPr>
      <w:r w:rsidRPr="00F910A5">
        <w:rPr>
          <w:rFonts w:eastAsia="Times New Roman" w:cs="Helvetica"/>
          <w:b/>
          <w:bCs/>
          <w:color w:val="333333"/>
        </w:rPr>
        <w:t>Business Management</w:t>
      </w:r>
      <w:r w:rsidR="00F910A5">
        <w:rPr>
          <w:rFonts w:eastAsia="Times New Roman" w:cs="Helvetica"/>
          <w:b/>
          <w:bCs/>
          <w:color w:val="333333"/>
        </w:rPr>
        <w:t xml:space="preserve">: </w:t>
      </w:r>
      <w:r w:rsidRPr="00F910A5">
        <w:rPr>
          <w:rFonts w:eastAsia="Times New Roman" w:cs="Helvetica"/>
          <w:color w:val="333333"/>
        </w:rPr>
        <w:t xml:space="preserve">Careers in the Business Management Cluster are dedicated to performing administrative and managerial processes vital to the success and ongoing existence of a business organization, regardless of the sector or industry in which the business resides or the product/service it provides. </w:t>
      </w:r>
    </w:p>
    <w:p w14:paraId="188AA62F" w14:textId="141562BC" w:rsidR="00E037DF" w:rsidRPr="00F910A5" w:rsidRDefault="00E037DF" w:rsidP="00F25E31">
      <w:pPr>
        <w:numPr>
          <w:ilvl w:val="0"/>
          <w:numId w:val="2"/>
        </w:numPr>
        <w:shd w:val="clear" w:color="auto" w:fill="FFFFFF"/>
        <w:spacing w:after="150" w:line="240" w:lineRule="auto"/>
        <w:ind w:left="173" w:right="-547"/>
        <w:rPr>
          <w:rFonts w:eastAsia="Times New Roman" w:cs="Helvetica"/>
          <w:color w:val="333333"/>
        </w:rPr>
      </w:pPr>
      <w:r w:rsidRPr="00F910A5">
        <w:rPr>
          <w:rFonts w:eastAsia="Times New Roman" w:cs="Helvetica"/>
          <w:b/>
          <w:bCs/>
          <w:color w:val="333333"/>
        </w:rPr>
        <w:t>Finance</w:t>
      </w:r>
      <w:r w:rsidR="00F910A5" w:rsidRPr="00F910A5">
        <w:rPr>
          <w:rFonts w:eastAsia="Times New Roman" w:cs="Helvetica"/>
          <w:b/>
          <w:bCs/>
          <w:color w:val="333333"/>
        </w:rPr>
        <w:t>:</w:t>
      </w:r>
      <w:r w:rsidRPr="00F910A5">
        <w:rPr>
          <w:rFonts w:eastAsia="Times New Roman" w:cs="Helvetica"/>
          <w:color w:val="333333"/>
        </w:rPr>
        <w:t xml:space="preserve"> The Finance Cluster includes career opportunities related to making strategic decisions to report, obtain, save, protect, and grow the financial assets of businesses and/or individuals.</w:t>
      </w:r>
    </w:p>
    <w:p w14:paraId="2C3F4084" w14:textId="003EF01F" w:rsidR="00E037DF" w:rsidRPr="00F910A5" w:rsidRDefault="00E037DF" w:rsidP="00F25E31">
      <w:pPr>
        <w:numPr>
          <w:ilvl w:val="0"/>
          <w:numId w:val="2"/>
        </w:numPr>
        <w:shd w:val="clear" w:color="auto" w:fill="FFFFFF"/>
        <w:spacing w:after="150" w:line="240" w:lineRule="auto"/>
        <w:ind w:left="173" w:right="-547"/>
        <w:rPr>
          <w:rFonts w:eastAsia="Times New Roman" w:cs="Helvetica"/>
          <w:color w:val="333333"/>
        </w:rPr>
      </w:pPr>
      <w:r w:rsidRPr="00F910A5">
        <w:rPr>
          <w:rFonts w:eastAsia="Times New Roman" w:cs="Helvetica"/>
          <w:b/>
          <w:bCs/>
          <w:color w:val="333333"/>
        </w:rPr>
        <w:t>Marketing</w:t>
      </w:r>
      <w:r w:rsidR="00F910A5" w:rsidRPr="00F910A5">
        <w:rPr>
          <w:rFonts w:eastAsia="Times New Roman" w:cs="Helvetica"/>
          <w:b/>
          <w:bCs/>
          <w:color w:val="333333"/>
        </w:rPr>
        <w:t>:</w:t>
      </w:r>
      <w:r w:rsidR="00F910A5">
        <w:rPr>
          <w:rFonts w:eastAsia="Times New Roman" w:cs="Helvetica"/>
          <w:color w:val="333333"/>
        </w:rPr>
        <w:t xml:space="preserve"> </w:t>
      </w:r>
      <w:r w:rsidRPr="00F910A5">
        <w:rPr>
          <w:rFonts w:eastAsia="Times New Roman" w:cs="Helvetica"/>
          <w:color w:val="333333"/>
        </w:rPr>
        <w:t>The Marketing Cluster includes career opportunities whose processes create, communicate, and deliver value to customers and manage customer relationships in ways that benefit the organization and its stakeholders.</w:t>
      </w:r>
    </w:p>
    <w:p w14:paraId="5820F3B5" w14:textId="5095FD43" w:rsidR="00F910A5" w:rsidRPr="00BB04C7" w:rsidRDefault="00F910A5" w:rsidP="00F910A5">
      <w:pPr>
        <w:shd w:val="clear" w:color="auto" w:fill="FFFFFF"/>
        <w:spacing w:after="150" w:line="300" w:lineRule="atLeast"/>
        <w:ind w:left="-540" w:right="-540"/>
        <w:rPr>
          <w:rFonts w:eastAsia="Times New Roman" w:cs="Helvetica"/>
          <w:color w:val="333333"/>
          <w:sz w:val="28"/>
          <w:szCs w:val="24"/>
        </w:rPr>
      </w:pPr>
      <w:r w:rsidRPr="00BB04C7">
        <w:rPr>
          <w:rFonts w:eastAsia="Times New Roman" w:cs="Helvetica"/>
          <w:b/>
          <w:bCs/>
          <w:color w:val="333333"/>
          <w:sz w:val="28"/>
          <w:szCs w:val="24"/>
        </w:rPr>
        <w:t>Pathways</w:t>
      </w:r>
    </w:p>
    <w:p w14:paraId="1CA59683" w14:textId="79F64249" w:rsidR="006C48AE" w:rsidRDefault="00F910A5" w:rsidP="00BC0309">
      <w:pPr>
        <w:spacing w:after="150" w:line="240" w:lineRule="auto"/>
        <w:ind w:left="-540" w:right="-540"/>
        <w:outlineLvl w:val="2"/>
        <w:rPr>
          <w:rFonts w:eastAsia="Times New Roman" w:cs="Helvetica"/>
          <w:color w:val="333333"/>
        </w:rPr>
      </w:pPr>
      <w:r>
        <w:t xml:space="preserve">Each of these three clusters is composed of a number of pathways </w:t>
      </w:r>
      <w:r w:rsidR="006C48AE">
        <w:t>whose content</w:t>
      </w:r>
      <w:r>
        <w:t xml:space="preserve"> represent</w:t>
      </w:r>
      <w:r w:rsidR="006C48AE">
        <w:t>s</w:t>
      </w:r>
      <w:r>
        <w:t xml:space="preserve"> a variety of broad-based occupational opportunities that have similar skillset requirements. </w:t>
      </w:r>
      <w:r w:rsidR="006C48AE">
        <w:t xml:space="preserve">To be considered a pathway, the following </w:t>
      </w:r>
      <w:r w:rsidR="00BC0309">
        <w:t>must exist</w:t>
      </w:r>
      <w:r w:rsidR="006C48AE">
        <w:t>:</w:t>
      </w:r>
      <w:r w:rsidR="00BC0309">
        <w:t xml:space="preserve"> a d</w:t>
      </w:r>
      <w:r w:rsidR="006C48AE" w:rsidRPr="006C48AE">
        <w:rPr>
          <w:rFonts w:eastAsia="Times New Roman" w:cs="Helvetica"/>
          <w:color w:val="333333"/>
        </w:rPr>
        <w:t>iscrete, core body of knowledge</w:t>
      </w:r>
      <w:r w:rsidR="00BC0309">
        <w:rPr>
          <w:rFonts w:eastAsia="Times New Roman" w:cs="Helvetica"/>
          <w:color w:val="333333"/>
        </w:rPr>
        <w:t>; w</w:t>
      </w:r>
      <w:r w:rsidR="006C48AE">
        <w:rPr>
          <w:rFonts w:eastAsia="Times New Roman" w:cs="Helvetica"/>
          <w:color w:val="333333"/>
        </w:rPr>
        <w:t>ell-defined</w:t>
      </w:r>
      <w:r w:rsidR="006C48AE" w:rsidRPr="006C48AE">
        <w:rPr>
          <w:rFonts w:eastAsia="Times New Roman" w:cs="Helvetica"/>
          <w:color w:val="333333"/>
        </w:rPr>
        <w:t xml:space="preserve"> career ladder</w:t>
      </w:r>
      <w:r w:rsidR="00BC0309">
        <w:rPr>
          <w:rFonts w:eastAsia="Times New Roman" w:cs="Helvetica"/>
          <w:color w:val="333333"/>
        </w:rPr>
        <w:t>; p</w:t>
      </w:r>
      <w:r w:rsidR="006C48AE" w:rsidRPr="006C48AE">
        <w:rPr>
          <w:rFonts w:eastAsia="Times New Roman" w:cs="Helvetica"/>
          <w:color w:val="333333"/>
        </w:rPr>
        <w:t>rofessional certification and training</w:t>
      </w:r>
      <w:r w:rsidR="00BC0309">
        <w:rPr>
          <w:rFonts w:eastAsia="Times New Roman" w:cs="Helvetica"/>
          <w:color w:val="333333"/>
        </w:rPr>
        <w:t>; p</w:t>
      </w:r>
      <w:r w:rsidR="006C48AE" w:rsidRPr="006C48AE">
        <w:rPr>
          <w:rFonts w:eastAsia="Times New Roman" w:cs="Helvetica"/>
          <w:color w:val="333333"/>
        </w:rPr>
        <w:t>rofessional associations</w:t>
      </w:r>
      <w:r w:rsidR="00BC0309">
        <w:rPr>
          <w:rFonts w:eastAsia="Times New Roman" w:cs="Helvetica"/>
          <w:color w:val="333333"/>
        </w:rPr>
        <w:t>; and c</w:t>
      </w:r>
      <w:r w:rsidR="006C48AE" w:rsidRPr="006C48AE">
        <w:rPr>
          <w:rFonts w:eastAsia="Times New Roman" w:cs="Helvetica"/>
          <w:color w:val="333333"/>
        </w:rPr>
        <w:t>ritical mass in terms of number of job</w:t>
      </w:r>
      <w:r w:rsidR="006C48AE">
        <w:rPr>
          <w:rFonts w:eastAsia="Times New Roman" w:cs="Helvetica"/>
          <w:color w:val="333333"/>
        </w:rPr>
        <w:t>s</w:t>
      </w:r>
      <w:r w:rsidR="00BC0309">
        <w:rPr>
          <w:rFonts w:eastAsia="Times New Roman" w:cs="Helvetica"/>
          <w:color w:val="333333"/>
        </w:rPr>
        <w:t>.</w:t>
      </w:r>
    </w:p>
    <w:p w14:paraId="1D879DED" w14:textId="66490AAF" w:rsidR="006C48AE" w:rsidRDefault="006C48AE" w:rsidP="00F25E31">
      <w:pPr>
        <w:spacing w:after="150" w:line="240" w:lineRule="auto"/>
        <w:ind w:left="-540" w:right="-540"/>
        <w:outlineLvl w:val="2"/>
      </w:pPr>
      <w:r>
        <w:t xml:space="preserve">Pathways for the </w:t>
      </w:r>
      <w:r w:rsidRPr="006C48AE">
        <w:rPr>
          <w:b/>
          <w:bCs/>
        </w:rPr>
        <w:t>Business Management</w:t>
      </w:r>
      <w:r>
        <w:t xml:space="preserve"> Cluster are:</w:t>
      </w:r>
    </w:p>
    <w:p w14:paraId="1FB09C3F" w14:textId="65BBF311" w:rsidR="00F25E31" w:rsidRPr="003745E7" w:rsidRDefault="00F25E31" w:rsidP="003745E7">
      <w:pPr>
        <w:numPr>
          <w:ilvl w:val="0"/>
          <w:numId w:val="2"/>
        </w:numPr>
        <w:shd w:val="clear" w:color="auto" w:fill="FFFFFF"/>
        <w:spacing w:after="150" w:line="240" w:lineRule="auto"/>
        <w:ind w:left="173" w:right="-547"/>
        <w:contextualSpacing/>
        <w:rPr>
          <w:rFonts w:eastAsia="Times New Roman" w:cs="Helvetica"/>
          <w:color w:val="333333"/>
        </w:rPr>
      </w:pPr>
      <w:r w:rsidRPr="003745E7">
        <w:t xml:space="preserve">Administrative Services </w:t>
      </w:r>
    </w:p>
    <w:p w14:paraId="294E0F31" w14:textId="7668D34D" w:rsidR="00F25E31" w:rsidRPr="003745E7" w:rsidRDefault="00F25E31" w:rsidP="003745E7">
      <w:pPr>
        <w:numPr>
          <w:ilvl w:val="0"/>
          <w:numId w:val="2"/>
        </w:numPr>
        <w:shd w:val="clear" w:color="auto" w:fill="FFFFFF"/>
        <w:spacing w:after="150" w:line="240" w:lineRule="auto"/>
        <w:ind w:left="173" w:right="-547"/>
        <w:contextualSpacing/>
        <w:rPr>
          <w:rFonts w:eastAsia="Times New Roman" w:cs="Helvetica"/>
          <w:color w:val="333333"/>
        </w:rPr>
      </w:pPr>
      <w:r w:rsidRPr="003745E7">
        <w:t xml:space="preserve">Business Information Management </w:t>
      </w:r>
    </w:p>
    <w:p w14:paraId="3DDEEA17" w14:textId="09346D62" w:rsidR="00F25E31" w:rsidRPr="003745E7" w:rsidRDefault="00F25E31" w:rsidP="003745E7">
      <w:pPr>
        <w:numPr>
          <w:ilvl w:val="0"/>
          <w:numId w:val="2"/>
        </w:numPr>
        <w:shd w:val="clear" w:color="auto" w:fill="FFFFFF"/>
        <w:spacing w:after="150" w:line="240" w:lineRule="auto"/>
        <w:ind w:left="173" w:right="-547"/>
        <w:contextualSpacing/>
        <w:rPr>
          <w:rFonts w:eastAsia="Times New Roman" w:cs="Helvetica"/>
          <w:color w:val="333333"/>
        </w:rPr>
      </w:pPr>
      <w:r w:rsidRPr="003745E7">
        <w:t xml:space="preserve">General Management </w:t>
      </w:r>
    </w:p>
    <w:p w14:paraId="2CB9A740" w14:textId="3B54EDB1" w:rsidR="00F25E31" w:rsidRPr="003745E7" w:rsidRDefault="00F25E31" w:rsidP="003745E7">
      <w:pPr>
        <w:numPr>
          <w:ilvl w:val="0"/>
          <w:numId w:val="2"/>
        </w:numPr>
        <w:shd w:val="clear" w:color="auto" w:fill="FFFFFF"/>
        <w:spacing w:after="150" w:line="240" w:lineRule="auto"/>
        <w:ind w:left="173" w:right="-547"/>
        <w:contextualSpacing/>
        <w:rPr>
          <w:rFonts w:eastAsia="Times New Roman" w:cs="Helvetica"/>
          <w:color w:val="333333"/>
        </w:rPr>
      </w:pPr>
      <w:r w:rsidRPr="003745E7">
        <w:t xml:space="preserve">Human Resources Management </w:t>
      </w:r>
    </w:p>
    <w:p w14:paraId="51BCF86C" w14:textId="442F75C5" w:rsidR="00F910A5" w:rsidRPr="003745E7" w:rsidRDefault="00F25E31" w:rsidP="003745E7">
      <w:pPr>
        <w:numPr>
          <w:ilvl w:val="0"/>
          <w:numId w:val="2"/>
        </w:numPr>
        <w:shd w:val="clear" w:color="auto" w:fill="FFFFFF"/>
        <w:spacing w:after="150" w:line="240" w:lineRule="auto"/>
        <w:ind w:left="173" w:right="-547"/>
      </w:pPr>
      <w:r w:rsidRPr="003745E7">
        <w:t>Operations Management</w:t>
      </w:r>
      <w:r w:rsidRPr="003745E7">
        <w:rPr>
          <w:rFonts w:eastAsia="Times New Roman" w:cs="Helvetica"/>
          <w:color w:val="333333"/>
        </w:rPr>
        <w:t xml:space="preserve"> </w:t>
      </w:r>
    </w:p>
    <w:p w14:paraId="6DD032D3" w14:textId="27114210" w:rsidR="00F25E31" w:rsidRDefault="00F25E31" w:rsidP="003745E7">
      <w:pPr>
        <w:spacing w:before="150" w:after="150" w:line="240" w:lineRule="auto"/>
        <w:ind w:left="-540" w:right="-540"/>
        <w:outlineLvl w:val="2"/>
      </w:pPr>
      <w:r w:rsidRPr="00F25E31">
        <w:t xml:space="preserve">The pathways for the </w:t>
      </w:r>
      <w:r w:rsidRPr="00F25E31">
        <w:rPr>
          <w:b/>
          <w:bCs/>
        </w:rPr>
        <w:t>Finance</w:t>
      </w:r>
      <w:r w:rsidRPr="00F25E31">
        <w:t xml:space="preserve"> Cluster are: </w:t>
      </w:r>
    </w:p>
    <w:p w14:paraId="4C7A1810" w14:textId="2DC6A57E" w:rsidR="00F25E31" w:rsidRPr="003745E7" w:rsidRDefault="00F25E31" w:rsidP="003745E7">
      <w:pPr>
        <w:numPr>
          <w:ilvl w:val="0"/>
          <w:numId w:val="2"/>
        </w:numPr>
        <w:shd w:val="clear" w:color="auto" w:fill="FFFFFF"/>
        <w:spacing w:after="150" w:line="240" w:lineRule="auto"/>
        <w:ind w:left="173" w:right="-547"/>
        <w:contextualSpacing/>
      </w:pPr>
      <w:r w:rsidRPr="003745E7">
        <w:t xml:space="preserve">Accounting </w:t>
      </w:r>
    </w:p>
    <w:p w14:paraId="7C387FDE" w14:textId="38C78E31" w:rsidR="00F25E31" w:rsidRPr="003745E7" w:rsidRDefault="00F25E31" w:rsidP="003745E7">
      <w:pPr>
        <w:numPr>
          <w:ilvl w:val="0"/>
          <w:numId w:val="2"/>
        </w:numPr>
        <w:shd w:val="clear" w:color="auto" w:fill="FFFFFF"/>
        <w:spacing w:after="150" w:line="240" w:lineRule="auto"/>
        <w:ind w:left="173" w:right="-547"/>
        <w:contextualSpacing/>
      </w:pPr>
      <w:r w:rsidRPr="003745E7">
        <w:t xml:space="preserve">Banking Services </w:t>
      </w:r>
    </w:p>
    <w:p w14:paraId="4A49439A" w14:textId="5AA6C936" w:rsidR="00F25E31" w:rsidRPr="003745E7" w:rsidRDefault="00F25E31" w:rsidP="003745E7">
      <w:pPr>
        <w:numPr>
          <w:ilvl w:val="0"/>
          <w:numId w:val="2"/>
        </w:numPr>
        <w:shd w:val="clear" w:color="auto" w:fill="FFFFFF"/>
        <w:spacing w:after="150" w:line="240" w:lineRule="auto"/>
        <w:ind w:left="173" w:right="-547"/>
        <w:contextualSpacing/>
      </w:pPr>
      <w:r w:rsidRPr="003745E7">
        <w:t xml:space="preserve">Corporate Finance </w:t>
      </w:r>
    </w:p>
    <w:p w14:paraId="679462BA" w14:textId="4B820D89" w:rsidR="00F25E31" w:rsidRPr="003745E7" w:rsidRDefault="00F25E31" w:rsidP="003745E7">
      <w:pPr>
        <w:numPr>
          <w:ilvl w:val="0"/>
          <w:numId w:val="2"/>
        </w:numPr>
        <w:shd w:val="clear" w:color="auto" w:fill="FFFFFF"/>
        <w:spacing w:after="150" w:line="240" w:lineRule="auto"/>
        <w:ind w:left="173" w:right="-547"/>
        <w:contextualSpacing/>
      </w:pPr>
      <w:r w:rsidRPr="003745E7">
        <w:t xml:space="preserve">Insurance </w:t>
      </w:r>
    </w:p>
    <w:p w14:paraId="3AE3EA9A" w14:textId="68D5D60F" w:rsidR="00F25E31" w:rsidRPr="003745E7" w:rsidRDefault="00F25E31" w:rsidP="00F25E31">
      <w:pPr>
        <w:numPr>
          <w:ilvl w:val="0"/>
          <w:numId w:val="12"/>
        </w:numPr>
        <w:shd w:val="clear" w:color="auto" w:fill="FFFFFF"/>
        <w:spacing w:after="150" w:line="240" w:lineRule="auto"/>
        <w:ind w:right="-540"/>
        <w:outlineLvl w:val="2"/>
      </w:pPr>
      <w:r w:rsidRPr="003745E7">
        <w:t xml:space="preserve">Securities and Investments </w:t>
      </w:r>
    </w:p>
    <w:p w14:paraId="08C05883" w14:textId="77777777" w:rsidR="00F25E31" w:rsidRDefault="00F25E31" w:rsidP="00F25E31">
      <w:pPr>
        <w:spacing w:after="150" w:line="240" w:lineRule="auto"/>
        <w:ind w:left="-540" w:right="-540"/>
        <w:outlineLvl w:val="2"/>
      </w:pPr>
      <w:r w:rsidRPr="00F25E31">
        <w:t xml:space="preserve">Pathways for the </w:t>
      </w:r>
      <w:r w:rsidRPr="00F25E31">
        <w:rPr>
          <w:b/>
          <w:bCs/>
        </w:rPr>
        <w:t>Marketing</w:t>
      </w:r>
      <w:r w:rsidRPr="00F25E31">
        <w:t xml:space="preserve"> Cluster are: </w:t>
      </w:r>
    </w:p>
    <w:p w14:paraId="5F1A6442" w14:textId="7759DE6E" w:rsidR="00F25E31" w:rsidRPr="00BC0309" w:rsidRDefault="00F25E31" w:rsidP="00BC0309">
      <w:pPr>
        <w:numPr>
          <w:ilvl w:val="0"/>
          <w:numId w:val="2"/>
        </w:numPr>
        <w:shd w:val="clear" w:color="auto" w:fill="FFFFFF"/>
        <w:spacing w:after="150" w:line="240" w:lineRule="auto"/>
        <w:ind w:left="173" w:right="-547"/>
        <w:contextualSpacing/>
      </w:pPr>
      <w:r w:rsidRPr="00BC0309">
        <w:t xml:space="preserve">Marketing Communications </w:t>
      </w:r>
    </w:p>
    <w:p w14:paraId="3C5F2CFE" w14:textId="4DB7222A" w:rsidR="00384A56" w:rsidRPr="00BC0309" w:rsidRDefault="00384A56" w:rsidP="00BC0309">
      <w:pPr>
        <w:numPr>
          <w:ilvl w:val="0"/>
          <w:numId w:val="2"/>
        </w:numPr>
        <w:shd w:val="clear" w:color="auto" w:fill="FFFFFF"/>
        <w:spacing w:after="150" w:line="240" w:lineRule="auto"/>
        <w:ind w:left="173" w:right="-547"/>
        <w:contextualSpacing/>
      </w:pPr>
      <w:r w:rsidRPr="00BC0309">
        <w:t>Marketing Management</w:t>
      </w:r>
      <w:r w:rsidR="00F25E31" w:rsidRPr="00BC0309">
        <w:t xml:space="preserve"> </w:t>
      </w:r>
    </w:p>
    <w:p w14:paraId="29EBDEF1" w14:textId="05A67702" w:rsidR="00384A56" w:rsidRPr="00BC0309" w:rsidRDefault="00384A56" w:rsidP="00BC0309">
      <w:pPr>
        <w:numPr>
          <w:ilvl w:val="0"/>
          <w:numId w:val="2"/>
        </w:numPr>
        <w:shd w:val="clear" w:color="auto" w:fill="FFFFFF"/>
        <w:spacing w:after="150" w:line="240" w:lineRule="auto"/>
        <w:ind w:left="173" w:right="-547"/>
        <w:contextualSpacing/>
      </w:pPr>
      <w:r w:rsidRPr="00BC0309">
        <w:t>Marketing Research</w:t>
      </w:r>
      <w:r w:rsidR="00F25E31" w:rsidRPr="00BC0309">
        <w:t xml:space="preserve"> </w:t>
      </w:r>
    </w:p>
    <w:p w14:paraId="41E55B8A" w14:textId="5E3041B8" w:rsidR="00384A56" w:rsidRPr="00BC0309" w:rsidRDefault="00384A56" w:rsidP="00BC0309">
      <w:pPr>
        <w:numPr>
          <w:ilvl w:val="0"/>
          <w:numId w:val="2"/>
        </w:numPr>
        <w:shd w:val="clear" w:color="auto" w:fill="FFFFFF"/>
        <w:spacing w:after="150" w:line="240" w:lineRule="auto"/>
        <w:ind w:left="173" w:right="-547"/>
        <w:contextualSpacing/>
      </w:pPr>
      <w:r w:rsidRPr="00BC0309">
        <w:t>Merchandising</w:t>
      </w:r>
      <w:r w:rsidR="00F25E31" w:rsidRPr="00BC0309">
        <w:t xml:space="preserve"> </w:t>
      </w:r>
    </w:p>
    <w:p w14:paraId="7BB0AFD9" w14:textId="7C56204F" w:rsidR="00F910A5" w:rsidRPr="00BC0309" w:rsidRDefault="00384A56" w:rsidP="00BC0309">
      <w:pPr>
        <w:numPr>
          <w:ilvl w:val="0"/>
          <w:numId w:val="2"/>
        </w:numPr>
        <w:shd w:val="clear" w:color="auto" w:fill="FFFFFF"/>
        <w:spacing w:after="150" w:line="240" w:lineRule="auto"/>
        <w:ind w:left="173" w:right="-547"/>
        <w:contextualSpacing/>
      </w:pPr>
      <w:r w:rsidRPr="00BC0309">
        <w:t>Professional Selling</w:t>
      </w:r>
    </w:p>
    <w:p w14:paraId="5B78AC11" w14:textId="77777777" w:rsidR="00F910A5" w:rsidRDefault="00F910A5" w:rsidP="00F910A5">
      <w:pPr>
        <w:spacing w:after="150" w:line="240" w:lineRule="auto"/>
        <w:ind w:left="-540" w:right="-540"/>
        <w:outlineLvl w:val="2"/>
      </w:pPr>
    </w:p>
    <w:p w14:paraId="2E12C24D" w14:textId="28792EBB" w:rsidR="00953A82" w:rsidRPr="00BB04C7" w:rsidRDefault="00BB04C7" w:rsidP="00953A82">
      <w:pPr>
        <w:spacing w:after="150" w:line="240" w:lineRule="auto"/>
        <w:ind w:left="-540" w:right="-540"/>
        <w:outlineLvl w:val="2"/>
        <w:rPr>
          <w:rFonts w:ascii="Calibri" w:eastAsia="Times New Roman" w:hAnsi="Calibri" w:cs="Helvetica"/>
          <w:b/>
          <w:bCs/>
          <w:color w:val="333333"/>
          <w:sz w:val="28"/>
          <w:szCs w:val="20"/>
        </w:rPr>
      </w:pPr>
      <w:r w:rsidRPr="00BB04C7">
        <w:rPr>
          <w:rFonts w:eastAsia="Times New Roman" w:cs="Helvetica"/>
          <w:noProof/>
          <w:color w:val="333333"/>
          <w:sz w:val="24"/>
          <w:szCs w:val="24"/>
        </w:rPr>
        <w:lastRenderedPageBreak/>
        <w:drawing>
          <wp:anchor distT="0" distB="0" distL="114300" distR="114300" simplePos="0" relativeHeight="251659776" behindDoc="1" locked="0" layoutInCell="1" allowOverlap="1" wp14:anchorId="09137A4D" wp14:editId="0AAE4F4C">
            <wp:simplePos x="0" y="0"/>
            <wp:positionH relativeFrom="margin">
              <wp:posOffset>2443480</wp:posOffset>
            </wp:positionH>
            <wp:positionV relativeFrom="margin">
              <wp:posOffset>-28575</wp:posOffset>
            </wp:positionV>
            <wp:extent cx="3947160" cy="25717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1_Pyramid layer4.jpg"/>
                    <pic:cNvPicPr/>
                  </pic:nvPicPr>
                  <pic:blipFill rotWithShape="1">
                    <a:blip r:embed="rId8" cstate="print">
                      <a:extLst>
                        <a:ext uri="{BEBA8EAE-BF5A-486C-A8C5-ECC9F3942E4B}">
                          <a14:imgProps xmlns:a14="http://schemas.microsoft.com/office/drawing/2010/main">
                            <a14:imgLayer r:embed="rId9">
                              <a14:imgEffect>
                                <a14:backgroundRemoval t="1250" b="99844" l="888" r="97929">
                                  <a14:foregroundMark x1="42702" y1="1406" x2="1183" y2="91875"/>
                                  <a14:foregroundMark x1="1381" y1="96250" x2="888" y2="99375"/>
                                  <a14:foregroundMark x1="1381" y1="99844" x2="1381" y2="99844"/>
                                </a14:backgroundRemoval>
                              </a14:imgEffect>
                            </a14:imgLayer>
                          </a14:imgProps>
                        </a:ext>
                        <a:ext uri="{28A0092B-C50C-407E-A947-70E740481C1C}">
                          <a14:useLocalDpi xmlns:a14="http://schemas.microsoft.com/office/drawing/2010/main" val="0"/>
                        </a:ext>
                      </a:extLst>
                    </a:blip>
                    <a:srcRect l="1363" r="1818"/>
                    <a:stretch/>
                  </pic:blipFill>
                  <pic:spPr bwMode="auto">
                    <a:xfrm>
                      <a:off x="0" y="0"/>
                      <a:ext cx="3947160" cy="2571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531A" w:rsidRPr="00BB04C7">
        <w:rPr>
          <w:rFonts w:ascii="Calibri" w:eastAsia="Times New Roman" w:hAnsi="Calibri" w:cs="Helvetica"/>
          <w:b/>
          <w:bCs/>
          <w:color w:val="333333"/>
          <w:sz w:val="28"/>
          <w:szCs w:val="20"/>
        </w:rPr>
        <w:t>Levels of Specificity</w:t>
      </w:r>
    </w:p>
    <w:p w14:paraId="20B4D7AB" w14:textId="6F1F8D35" w:rsidR="00953A82" w:rsidRPr="000B1DAA" w:rsidRDefault="0046762B" w:rsidP="0046762B">
      <w:pPr>
        <w:ind w:left="-540" w:right="-540"/>
        <w:rPr>
          <w:rFonts w:eastAsia="Times New Roman" w:cs="Helvetica"/>
          <w:color w:val="333333"/>
        </w:rPr>
      </w:pPr>
      <w:r>
        <w:t xml:space="preserve">The National </w:t>
      </w:r>
      <w:r w:rsidR="00473BF3">
        <w:t xml:space="preserve">Business Administration </w:t>
      </w:r>
      <w:r>
        <w:t xml:space="preserve">Standards, which encompass the three business-related clusters of </w:t>
      </w:r>
      <w:r w:rsidRPr="000B1DAA">
        <w:t>Business Management</w:t>
      </w:r>
      <w:r>
        <w:t xml:space="preserve">, Finance, and Marketing, </w:t>
      </w:r>
      <w:r>
        <w:rPr>
          <w:rFonts w:eastAsia="Times New Roman" w:cs="Helvetica"/>
          <w:color w:val="333333"/>
        </w:rPr>
        <w:t>consist</w:t>
      </w:r>
      <w:r w:rsidR="00953A82" w:rsidRPr="000B1DAA">
        <w:rPr>
          <w:rFonts w:eastAsia="Times New Roman" w:cs="Helvetica"/>
          <w:color w:val="333333"/>
        </w:rPr>
        <w:t xml:space="preserve"> of four tiers of specificity: Business Administration Core, Cluster Core, Pathways, and Specialties. The content of the broad-based Business Administration Core is fundamental to an understanding of business</w:t>
      </w:r>
      <w:r>
        <w:rPr>
          <w:rFonts w:eastAsia="Times New Roman" w:cs="Helvetica"/>
          <w:color w:val="333333"/>
        </w:rPr>
        <w:t xml:space="preserve"> in all three of these clusters</w:t>
      </w:r>
      <w:r w:rsidR="00953A82" w:rsidRPr="000B1DAA">
        <w:rPr>
          <w:rFonts w:eastAsia="Times New Roman" w:cs="Helvetica"/>
          <w:color w:val="333333"/>
        </w:rPr>
        <w:t xml:space="preserve"> and can be viewed as co-requisites and as prerequisites for all business administration courses.</w:t>
      </w:r>
    </w:p>
    <w:p w14:paraId="54C290D7" w14:textId="090B6809" w:rsidR="00953A82" w:rsidRPr="000B1DAA" w:rsidRDefault="00953A82" w:rsidP="00953A82">
      <w:pPr>
        <w:shd w:val="clear" w:color="auto" w:fill="FFFFFF"/>
        <w:spacing w:after="150" w:line="300" w:lineRule="atLeast"/>
        <w:ind w:left="-540" w:right="-540"/>
        <w:rPr>
          <w:rFonts w:eastAsia="Times New Roman" w:cs="Helvetica"/>
          <w:color w:val="333333"/>
          <w:sz w:val="24"/>
        </w:rPr>
      </w:pPr>
      <w:r w:rsidRPr="000B1DAA">
        <w:rPr>
          <w:rFonts w:eastAsia="Times New Roman" w:cs="Helvetica"/>
          <w:b/>
          <w:bCs/>
          <w:color w:val="333333"/>
          <w:sz w:val="24"/>
        </w:rPr>
        <w:t>Business Administration Core</w:t>
      </w:r>
    </w:p>
    <w:p w14:paraId="473B5A27" w14:textId="6980FB58" w:rsidR="00953A82" w:rsidRPr="000B1DAA" w:rsidRDefault="00953A82" w:rsidP="00953A82">
      <w:pPr>
        <w:shd w:val="clear" w:color="auto" w:fill="FFFFFF"/>
        <w:spacing w:after="150" w:line="300" w:lineRule="atLeast"/>
        <w:ind w:left="-540" w:right="-540"/>
        <w:rPr>
          <w:rFonts w:eastAsia="Times New Roman" w:cs="Helvetica"/>
          <w:color w:val="333333"/>
        </w:rPr>
      </w:pPr>
      <w:r w:rsidRPr="000B1DAA">
        <w:rPr>
          <w:rFonts w:eastAsia="Times New Roman" w:cs="Helvetica"/>
          <w:color w:val="333333"/>
        </w:rPr>
        <w:t xml:space="preserve">The Business Administration Core </w:t>
      </w:r>
      <w:r w:rsidR="006B4560">
        <w:rPr>
          <w:rFonts w:eastAsia="Times New Roman" w:cs="Helvetica"/>
          <w:color w:val="333333"/>
        </w:rPr>
        <w:t>represents skills and knowledge needed for success in careers in all three-business related clusters and therefore should be addressed in all Business Management, Finance, and Marketing programs. Content in the Business Administration Core must be</w:t>
      </w:r>
      <w:r w:rsidRPr="000B1DAA">
        <w:rPr>
          <w:rFonts w:eastAsia="Times New Roman" w:cs="Helvetica"/>
          <w:color w:val="333333"/>
        </w:rPr>
        <w:t xml:space="preserve"> mastered </w:t>
      </w:r>
      <w:r w:rsidR="00C01BBF">
        <w:rPr>
          <w:rFonts w:eastAsia="Times New Roman" w:cs="Helvetica"/>
          <w:color w:val="333333"/>
        </w:rPr>
        <w:t>in order for</w:t>
      </w:r>
      <w:r w:rsidR="00161C14">
        <w:rPr>
          <w:rFonts w:eastAsia="Times New Roman" w:cs="Helvetica"/>
          <w:color w:val="333333"/>
        </w:rPr>
        <w:t xml:space="preserve"> </w:t>
      </w:r>
      <w:r w:rsidRPr="000B1DAA">
        <w:rPr>
          <w:rFonts w:eastAsia="Times New Roman" w:cs="Helvetica"/>
          <w:color w:val="333333"/>
        </w:rPr>
        <w:t xml:space="preserve">cluster-specific content to have relevance to student learning. There are 13 Business Administration instructional areas: Business Law, Communication Skills, Customer Relations, Economics, Emotional Intelligence, Entrepreneurship, Financial Analysis, </w:t>
      </w:r>
      <w:r>
        <w:rPr>
          <w:rFonts w:eastAsia="Times New Roman" w:cs="Helvetica"/>
          <w:color w:val="333333"/>
        </w:rPr>
        <w:t>HR</w:t>
      </w:r>
      <w:r w:rsidRPr="000B1DAA">
        <w:rPr>
          <w:rFonts w:eastAsia="Times New Roman" w:cs="Helvetica"/>
          <w:color w:val="333333"/>
        </w:rPr>
        <w:t xml:space="preserve"> Management, Information Management, Marketing, Operations, Professional Development, and Strategic Management.</w:t>
      </w:r>
    </w:p>
    <w:p w14:paraId="4AFE6009" w14:textId="77777777" w:rsidR="00953A82" w:rsidRPr="000B1DAA" w:rsidRDefault="00953A82" w:rsidP="00953A82">
      <w:pPr>
        <w:shd w:val="clear" w:color="auto" w:fill="FFFFFF"/>
        <w:spacing w:after="150" w:line="300" w:lineRule="atLeast"/>
        <w:ind w:left="-540" w:right="-540"/>
        <w:rPr>
          <w:rFonts w:eastAsia="Times New Roman" w:cs="Helvetica"/>
          <w:color w:val="333333"/>
          <w:sz w:val="24"/>
        </w:rPr>
      </w:pPr>
      <w:r w:rsidRPr="000B1DAA">
        <w:rPr>
          <w:rFonts w:eastAsia="Times New Roman" w:cs="Helvetica"/>
          <w:b/>
          <w:bCs/>
          <w:color w:val="333333"/>
          <w:sz w:val="24"/>
        </w:rPr>
        <w:t>Cluster Core</w:t>
      </w:r>
    </w:p>
    <w:p w14:paraId="1BB71941" w14:textId="77777777" w:rsidR="00953A82" w:rsidRPr="000B1DAA" w:rsidRDefault="00953A82" w:rsidP="00953A82">
      <w:pPr>
        <w:shd w:val="clear" w:color="auto" w:fill="FFFFFF"/>
        <w:spacing w:after="150" w:line="300" w:lineRule="atLeast"/>
        <w:ind w:left="-540" w:right="-540"/>
        <w:rPr>
          <w:rFonts w:eastAsia="Times New Roman" w:cs="Helvetica"/>
          <w:color w:val="333333"/>
        </w:rPr>
      </w:pPr>
      <w:r w:rsidRPr="000B1DAA">
        <w:rPr>
          <w:rFonts w:eastAsia="Times New Roman" w:cs="Helvetica"/>
          <w:color w:val="333333"/>
        </w:rPr>
        <w:t xml:space="preserve">The Cluster Core tier represents the skills and knowledge identified as common across the Pathways in a </w:t>
      </w:r>
      <w:r w:rsidR="00161C14">
        <w:rPr>
          <w:rFonts w:eastAsia="Times New Roman" w:cs="Helvetica"/>
          <w:color w:val="333333"/>
        </w:rPr>
        <w:t xml:space="preserve">particular </w:t>
      </w:r>
      <w:r w:rsidRPr="000B1DAA">
        <w:rPr>
          <w:rFonts w:eastAsia="Times New Roman" w:cs="Helvetica"/>
          <w:color w:val="333333"/>
        </w:rPr>
        <w:t>cluster. The Finance Cluster Core, for example, is composed of six instructional areas: Compliance, Customer Relations, Financial Analysis, Financial-Information Management, Professional Development, and Risk Management.</w:t>
      </w:r>
    </w:p>
    <w:p w14:paraId="5A50A03D" w14:textId="77777777" w:rsidR="00953A82" w:rsidRPr="000B1DAA" w:rsidRDefault="00953A82" w:rsidP="00953A82">
      <w:pPr>
        <w:shd w:val="clear" w:color="auto" w:fill="FFFFFF"/>
        <w:spacing w:after="150" w:line="300" w:lineRule="atLeast"/>
        <w:ind w:left="-540" w:right="-540"/>
        <w:rPr>
          <w:rFonts w:eastAsia="Times New Roman" w:cs="Helvetica"/>
          <w:color w:val="333333"/>
          <w:sz w:val="24"/>
        </w:rPr>
      </w:pPr>
      <w:r w:rsidRPr="000B1DAA">
        <w:rPr>
          <w:rFonts w:eastAsia="Times New Roman" w:cs="Helvetica"/>
          <w:b/>
          <w:bCs/>
          <w:color w:val="333333"/>
          <w:sz w:val="24"/>
        </w:rPr>
        <w:t>Pathways</w:t>
      </w:r>
    </w:p>
    <w:p w14:paraId="622024E4" w14:textId="77777777" w:rsidR="00953A82" w:rsidRPr="000B1DAA" w:rsidRDefault="00953A82" w:rsidP="00953A82">
      <w:pPr>
        <w:shd w:val="clear" w:color="auto" w:fill="FFFFFF"/>
        <w:spacing w:after="150" w:line="300" w:lineRule="atLeast"/>
        <w:ind w:left="-540" w:right="-540"/>
        <w:rPr>
          <w:rFonts w:eastAsia="Times New Roman" w:cs="Helvetica"/>
          <w:color w:val="333333"/>
        </w:rPr>
      </w:pPr>
      <w:r w:rsidRPr="000B1DAA">
        <w:rPr>
          <w:rFonts w:eastAsia="Times New Roman" w:cs="Helvetica"/>
          <w:color w:val="333333"/>
        </w:rPr>
        <w:t xml:space="preserve">The Pathways tier addresses the content of a variety of broad-based occupational opportunities within a cluster. In the Business </w:t>
      </w:r>
      <w:r w:rsidR="00161C14">
        <w:rPr>
          <w:rFonts w:eastAsia="Times New Roman" w:cs="Helvetica"/>
          <w:color w:val="333333"/>
        </w:rPr>
        <w:t>Management</w:t>
      </w:r>
      <w:r w:rsidRPr="000B1DAA">
        <w:rPr>
          <w:rFonts w:eastAsia="Times New Roman" w:cs="Helvetica"/>
          <w:color w:val="333333"/>
        </w:rPr>
        <w:t xml:space="preserve"> Cluster, for instance, the skills and knowledge that are common across jobs in operations management appear in the Operations Management Pathway.</w:t>
      </w:r>
    </w:p>
    <w:p w14:paraId="06342BC7" w14:textId="77777777" w:rsidR="00953A82" w:rsidRPr="000B1DAA" w:rsidRDefault="00953A82" w:rsidP="00953A82">
      <w:pPr>
        <w:shd w:val="clear" w:color="auto" w:fill="FFFFFF"/>
        <w:spacing w:after="150" w:line="300" w:lineRule="atLeast"/>
        <w:ind w:left="-540" w:right="-540"/>
        <w:rPr>
          <w:rFonts w:eastAsia="Times New Roman" w:cs="Helvetica"/>
          <w:color w:val="333333"/>
          <w:sz w:val="24"/>
        </w:rPr>
      </w:pPr>
      <w:r w:rsidRPr="000B1DAA">
        <w:rPr>
          <w:rFonts w:eastAsia="Times New Roman" w:cs="Helvetica"/>
          <w:b/>
          <w:bCs/>
          <w:color w:val="333333"/>
          <w:sz w:val="24"/>
        </w:rPr>
        <w:t>Specialties</w:t>
      </w:r>
    </w:p>
    <w:p w14:paraId="1A8028D1" w14:textId="77777777" w:rsidR="00161C14" w:rsidRDefault="00953A82" w:rsidP="00953A82">
      <w:pPr>
        <w:shd w:val="clear" w:color="auto" w:fill="FFFFFF"/>
        <w:spacing w:after="150" w:line="300" w:lineRule="atLeast"/>
        <w:ind w:left="-540" w:right="-540"/>
        <w:rPr>
          <w:rFonts w:eastAsia="Times New Roman" w:cs="Helvetica"/>
          <w:color w:val="333333"/>
        </w:rPr>
      </w:pPr>
      <w:r w:rsidRPr="000B1DAA">
        <w:rPr>
          <w:rFonts w:eastAsia="Times New Roman" w:cs="Helvetica"/>
          <w:color w:val="333333"/>
        </w:rPr>
        <w:t xml:space="preserve">The fourth tier, Specialties, focuses on specific job opportunities that are tied to a pathway. The job opportunities identified in the Specialties require knowledge and skills unique to a product or service. In Marketing, </w:t>
      </w:r>
      <w:r w:rsidR="00151921">
        <w:rPr>
          <w:rFonts w:eastAsia="Times New Roman" w:cs="Helvetica"/>
          <w:color w:val="333333"/>
        </w:rPr>
        <w:t>as an</w:t>
      </w:r>
      <w:r w:rsidRPr="000B1DAA">
        <w:rPr>
          <w:rFonts w:eastAsia="Times New Roman" w:cs="Helvetica"/>
          <w:color w:val="333333"/>
        </w:rPr>
        <w:t xml:space="preserve"> example, Specialties for the Professional Selling Pathway include pharmaceutical sales, advertising sales, heavy-equipment sales, and medical-equipment sales.</w:t>
      </w:r>
    </w:p>
    <w:p w14:paraId="41AAA441" w14:textId="77777777" w:rsidR="00953A82" w:rsidRPr="000B1DAA" w:rsidRDefault="00953A82" w:rsidP="00953A82">
      <w:pPr>
        <w:shd w:val="clear" w:color="auto" w:fill="FFFFFF"/>
        <w:spacing w:after="150" w:line="300" w:lineRule="atLeast"/>
        <w:ind w:left="-540" w:right="-540"/>
        <w:rPr>
          <w:rFonts w:eastAsia="Times New Roman" w:cs="Helvetica"/>
          <w:color w:val="333333"/>
        </w:rPr>
      </w:pPr>
      <w:r w:rsidRPr="000B1DAA">
        <w:rPr>
          <w:rFonts w:eastAsia="Times New Roman" w:cs="Helvetica"/>
          <w:color w:val="333333"/>
        </w:rPr>
        <w:t xml:space="preserve">Thus, the business administration curriculum can be viewed as a continuum that begins in the primary grades with career awareness and exploration and continues through postsecondary education with the emphasis becoming more specialized to the learner’s individual interest in business. </w:t>
      </w:r>
    </w:p>
    <w:p w14:paraId="3431F27E" w14:textId="77777777" w:rsidR="00C8258E" w:rsidRDefault="00C8258E" w:rsidP="00C8258E">
      <w:pPr>
        <w:spacing w:before="150" w:after="150" w:line="240" w:lineRule="auto"/>
        <w:ind w:left="-540" w:right="-540"/>
        <w:outlineLvl w:val="2"/>
        <w:rPr>
          <w:rFonts w:ascii="Calibri" w:eastAsia="Times New Roman" w:hAnsi="Calibri" w:cs="Helvetica"/>
          <w:b/>
          <w:bCs/>
          <w:color w:val="333333"/>
          <w:sz w:val="28"/>
          <w:szCs w:val="20"/>
        </w:rPr>
      </w:pPr>
      <w:r>
        <w:rPr>
          <w:rFonts w:ascii="Calibri" w:eastAsia="Times New Roman" w:hAnsi="Calibri" w:cs="Helvetica"/>
          <w:b/>
          <w:bCs/>
          <w:color w:val="333333"/>
          <w:sz w:val="28"/>
          <w:szCs w:val="20"/>
        </w:rPr>
        <w:br w:type="page"/>
      </w:r>
    </w:p>
    <w:p w14:paraId="4A6C32A5" w14:textId="32C46A62" w:rsidR="00953A82" w:rsidRPr="00BB04C7" w:rsidRDefault="00953A82" w:rsidP="00C8258E">
      <w:pPr>
        <w:spacing w:before="150" w:after="150" w:line="240" w:lineRule="auto"/>
        <w:ind w:left="-540" w:right="-540"/>
        <w:outlineLvl w:val="2"/>
        <w:rPr>
          <w:rFonts w:ascii="Calibri" w:eastAsia="Times New Roman" w:hAnsi="Calibri" w:cs="Helvetica"/>
          <w:b/>
          <w:bCs/>
          <w:color w:val="333333"/>
          <w:sz w:val="28"/>
          <w:szCs w:val="20"/>
        </w:rPr>
      </w:pPr>
      <w:r w:rsidRPr="00BB04C7">
        <w:rPr>
          <w:rFonts w:ascii="Calibri" w:eastAsia="Times New Roman" w:hAnsi="Calibri" w:cs="Helvetica"/>
          <w:b/>
          <w:bCs/>
          <w:color w:val="333333"/>
          <w:sz w:val="28"/>
          <w:szCs w:val="20"/>
        </w:rPr>
        <w:lastRenderedPageBreak/>
        <w:t>Curricular Organization</w:t>
      </w:r>
    </w:p>
    <w:p w14:paraId="33DFC666" w14:textId="77777777" w:rsidR="00953A82" w:rsidRPr="000B1DAA" w:rsidRDefault="00953A82" w:rsidP="00953A82">
      <w:pPr>
        <w:shd w:val="clear" w:color="auto" w:fill="FFFFFF"/>
        <w:spacing w:after="150" w:line="300" w:lineRule="atLeast"/>
        <w:ind w:left="-540" w:right="-540"/>
        <w:rPr>
          <w:rFonts w:eastAsia="Times New Roman" w:cs="Helvetica"/>
          <w:color w:val="333333"/>
        </w:rPr>
      </w:pPr>
      <w:r w:rsidRPr="000B1DAA">
        <w:rPr>
          <w:rFonts w:eastAsia="Times New Roman" w:cs="Helvetica"/>
          <w:color w:val="333333"/>
        </w:rPr>
        <w:t>Within each tier</w:t>
      </w:r>
      <w:r w:rsidR="00371297">
        <w:rPr>
          <w:rFonts w:eastAsia="Times New Roman" w:cs="Helvetica"/>
          <w:color w:val="333333"/>
        </w:rPr>
        <w:t xml:space="preserve"> of the pyramid</w:t>
      </w:r>
      <w:r w:rsidRPr="000B1DAA">
        <w:rPr>
          <w:rFonts w:eastAsia="Times New Roman" w:cs="Helvetica"/>
          <w:color w:val="333333"/>
        </w:rPr>
        <w:t>, the curricular content has been organized into Standards</w:t>
      </w:r>
      <w:r w:rsidR="00354A70">
        <w:rPr>
          <w:rFonts w:eastAsia="Times New Roman" w:cs="Helvetica"/>
          <w:color w:val="333333"/>
        </w:rPr>
        <w:t>/Instructional Areas</w:t>
      </w:r>
      <w:r w:rsidRPr="000B1DAA">
        <w:rPr>
          <w:rFonts w:eastAsia="Times New Roman" w:cs="Helvetica"/>
          <w:color w:val="333333"/>
        </w:rPr>
        <w:t xml:space="preserve"> (Knowledge and Skill Statements), Performance Elements, and Performance Indicators.</w:t>
      </w:r>
    </w:p>
    <w:p w14:paraId="2ACB0475" w14:textId="77777777" w:rsidR="00953A82" w:rsidRPr="000B1DAA" w:rsidRDefault="00953A82" w:rsidP="00953A82">
      <w:pPr>
        <w:shd w:val="clear" w:color="auto" w:fill="FFFFFF"/>
        <w:spacing w:after="150" w:line="300" w:lineRule="atLeast"/>
        <w:ind w:left="-540" w:right="-540"/>
        <w:rPr>
          <w:rFonts w:eastAsia="Times New Roman" w:cs="Helvetica"/>
          <w:b/>
          <w:bCs/>
          <w:color w:val="333333"/>
          <w:sz w:val="24"/>
        </w:rPr>
      </w:pPr>
      <w:r w:rsidRPr="000B1DAA">
        <w:rPr>
          <w:rFonts w:eastAsia="Times New Roman" w:cs="Helvetica"/>
          <w:b/>
          <w:bCs/>
          <w:color w:val="333333"/>
          <w:sz w:val="24"/>
        </w:rPr>
        <w:t>Standards</w:t>
      </w:r>
      <w:r w:rsidR="00354A70">
        <w:rPr>
          <w:rFonts w:eastAsia="Times New Roman" w:cs="Helvetica"/>
          <w:b/>
          <w:bCs/>
          <w:color w:val="333333"/>
          <w:sz w:val="24"/>
        </w:rPr>
        <w:t>/Instructional Areas</w:t>
      </w:r>
    </w:p>
    <w:p w14:paraId="4976C855" w14:textId="1F36E6F3" w:rsidR="00953A82" w:rsidRDefault="00953A82" w:rsidP="00354A70">
      <w:pPr>
        <w:shd w:val="clear" w:color="auto" w:fill="FFFFFF"/>
        <w:spacing w:after="150" w:line="300" w:lineRule="atLeast"/>
        <w:ind w:left="-540" w:right="-540"/>
        <w:rPr>
          <w:rFonts w:eastAsia="Times New Roman" w:cs="Helvetica"/>
          <w:color w:val="333333"/>
        </w:rPr>
      </w:pPr>
      <w:r w:rsidRPr="000B1DAA">
        <w:rPr>
          <w:rFonts w:eastAsia="Times New Roman" w:cs="Helvetica"/>
          <w:color w:val="333333"/>
        </w:rPr>
        <w:t>The broadly-based Standards</w:t>
      </w:r>
      <w:r w:rsidR="00354A70">
        <w:rPr>
          <w:rFonts w:eastAsia="Times New Roman" w:cs="Helvetica"/>
          <w:color w:val="333333"/>
        </w:rPr>
        <w:t>/Instructional Areas</w:t>
      </w:r>
      <w:r w:rsidRPr="000B1DAA">
        <w:rPr>
          <w:rFonts w:eastAsia="Times New Roman" w:cs="Helvetica"/>
          <w:color w:val="333333"/>
        </w:rPr>
        <w:t xml:space="preserve"> identify what students should know and be able to do as a result of instruction in any of the business-related clusters. These statements encapsulate the overarching intent/purpose of a work function. The </w:t>
      </w:r>
      <w:r>
        <w:rPr>
          <w:rFonts w:eastAsia="Times New Roman" w:cs="Helvetica"/>
          <w:color w:val="333333"/>
        </w:rPr>
        <w:t xml:space="preserve">Economics </w:t>
      </w:r>
      <w:r w:rsidRPr="000B1DAA">
        <w:rPr>
          <w:rFonts w:eastAsia="Times New Roman" w:cs="Helvetica"/>
          <w:color w:val="333333"/>
        </w:rPr>
        <w:t xml:space="preserve">Standard identified </w:t>
      </w:r>
      <w:r>
        <w:rPr>
          <w:rFonts w:eastAsia="Times New Roman" w:cs="Helvetica"/>
          <w:color w:val="333333"/>
        </w:rPr>
        <w:t>in</w:t>
      </w:r>
      <w:r w:rsidRPr="000B1DAA">
        <w:rPr>
          <w:rFonts w:eastAsia="Times New Roman" w:cs="Helvetica"/>
          <w:color w:val="333333"/>
        </w:rPr>
        <w:t xml:space="preserve"> </w:t>
      </w:r>
      <w:r w:rsidRPr="00953A82">
        <w:rPr>
          <w:rFonts w:eastAsia="Times New Roman" w:cs="Helvetica"/>
          <w:color w:val="333333"/>
        </w:rPr>
        <w:t>the </w:t>
      </w:r>
      <w:r w:rsidRPr="00953A82">
        <w:rPr>
          <w:rFonts w:eastAsia="Times New Roman" w:cs="Helvetica"/>
          <w:bCs/>
          <w:color w:val="333333"/>
        </w:rPr>
        <w:t>Business Administration Core</w:t>
      </w:r>
      <w:r>
        <w:rPr>
          <w:rFonts w:eastAsia="Times New Roman" w:cs="Helvetica"/>
          <w:bCs/>
          <w:color w:val="333333"/>
        </w:rPr>
        <w:t>, for example, is</w:t>
      </w:r>
      <w:r w:rsidRPr="00953A82">
        <w:rPr>
          <w:rFonts w:eastAsia="Times New Roman" w:cs="Helvetica"/>
          <w:color w:val="333333"/>
        </w:rPr>
        <w:t>:</w:t>
      </w:r>
      <w:r>
        <w:rPr>
          <w:rFonts w:eastAsia="Times New Roman" w:cs="Helvetica"/>
          <w:color w:val="333333"/>
        </w:rPr>
        <w:t xml:space="preserve"> “</w:t>
      </w:r>
      <w:r w:rsidRPr="000B1DAA">
        <w:rPr>
          <w:rFonts w:eastAsia="Times New Roman" w:cs="Helvetica"/>
          <w:color w:val="333333"/>
        </w:rPr>
        <w:t>Understands the economic principles and concepts fundamental to business operations</w:t>
      </w:r>
      <w:r>
        <w:rPr>
          <w:rFonts w:eastAsia="Times New Roman" w:cs="Helvetica"/>
          <w:color w:val="333333"/>
        </w:rPr>
        <w:t>.”</w:t>
      </w:r>
      <w:r w:rsidR="00354A70">
        <w:rPr>
          <w:rFonts w:eastAsia="Times New Roman" w:cs="Helvetica"/>
          <w:color w:val="333333"/>
        </w:rPr>
        <w:t xml:space="preserve"> </w:t>
      </w:r>
      <w:r w:rsidR="00151921">
        <w:rPr>
          <w:rFonts w:eastAsia="Times New Roman" w:cs="Helvetica"/>
          <w:color w:val="333333"/>
        </w:rPr>
        <w:t>E</w:t>
      </w:r>
      <w:r w:rsidR="00354A70">
        <w:t xml:space="preserve">ach Standard/Instructional Area </w:t>
      </w:r>
      <w:r w:rsidR="00354A70" w:rsidRPr="000B1DAA">
        <w:t>represent</w:t>
      </w:r>
      <w:r w:rsidR="00354A70">
        <w:t>s</w:t>
      </w:r>
      <w:r w:rsidR="00354A70" w:rsidRPr="000B1DAA">
        <w:t xml:space="preserve"> </w:t>
      </w:r>
      <w:r w:rsidR="00354A70">
        <w:t>a particular</w:t>
      </w:r>
      <w:r w:rsidR="00354A70" w:rsidRPr="000B1DAA">
        <w:t xml:space="preserve"> topic—not </w:t>
      </w:r>
      <w:r w:rsidR="00354A70">
        <w:t xml:space="preserve">a </w:t>
      </w:r>
      <w:r w:rsidR="00354A70" w:rsidRPr="000B1DAA">
        <w:t>course.</w:t>
      </w:r>
      <w:r w:rsidR="00C01BBF">
        <w:t xml:space="preserve"> </w:t>
      </w:r>
    </w:p>
    <w:p w14:paraId="6CF037D2" w14:textId="77777777" w:rsidR="00953A82" w:rsidRPr="000B1DAA" w:rsidRDefault="00953A82" w:rsidP="00953A82">
      <w:pPr>
        <w:shd w:val="clear" w:color="auto" w:fill="FFFFFF"/>
        <w:spacing w:after="150" w:line="300" w:lineRule="atLeast"/>
        <w:ind w:left="-540" w:right="-540"/>
        <w:rPr>
          <w:rFonts w:eastAsia="Times New Roman" w:cs="Helvetica"/>
          <w:b/>
          <w:bCs/>
          <w:color w:val="333333"/>
          <w:sz w:val="24"/>
        </w:rPr>
      </w:pPr>
      <w:r w:rsidRPr="000B1DAA">
        <w:rPr>
          <w:rFonts w:eastAsia="Times New Roman" w:cs="Helvetica"/>
          <w:b/>
          <w:bCs/>
          <w:color w:val="333333"/>
          <w:sz w:val="24"/>
        </w:rPr>
        <w:t>Performance Elements</w:t>
      </w:r>
    </w:p>
    <w:p w14:paraId="569A766A" w14:textId="77777777" w:rsidR="00953A82" w:rsidRDefault="00953A82" w:rsidP="00953A82">
      <w:pPr>
        <w:shd w:val="clear" w:color="auto" w:fill="FFFFFF"/>
        <w:spacing w:after="150" w:line="300" w:lineRule="atLeast"/>
        <w:ind w:left="-540" w:right="-540"/>
        <w:rPr>
          <w:rFonts w:eastAsia="Times New Roman" w:cs="Helvetica"/>
          <w:bCs/>
          <w:color w:val="333333"/>
        </w:rPr>
      </w:pPr>
      <w:r w:rsidRPr="000B1DAA">
        <w:rPr>
          <w:rFonts w:eastAsia="Times New Roman" w:cs="Helvetica"/>
          <w:color w:val="333333"/>
        </w:rPr>
        <w:t xml:space="preserve">Each Standard is composed of multiple Performance Elements. These statements are broad-based work or cognitive performances that aid in defining the Standards. </w:t>
      </w:r>
      <w:r>
        <w:rPr>
          <w:rFonts w:eastAsia="Times New Roman" w:cs="Helvetica"/>
          <w:color w:val="333333"/>
        </w:rPr>
        <w:t xml:space="preserve">A </w:t>
      </w:r>
      <w:r w:rsidRPr="000B1DAA">
        <w:rPr>
          <w:rFonts w:eastAsia="Times New Roman" w:cs="Helvetica"/>
          <w:color w:val="333333"/>
        </w:rPr>
        <w:t>Performance Element</w:t>
      </w:r>
      <w:r>
        <w:rPr>
          <w:rFonts w:eastAsia="Times New Roman" w:cs="Helvetica"/>
          <w:color w:val="333333"/>
        </w:rPr>
        <w:t xml:space="preserve"> from the Economics Instructional Area, for instance, is “</w:t>
      </w:r>
      <w:r w:rsidRPr="00953A82">
        <w:rPr>
          <w:rFonts w:eastAsia="Times New Roman" w:cs="Helvetica"/>
          <w:bCs/>
          <w:color w:val="333333"/>
        </w:rPr>
        <w:t>Understand the nature of business to show its contributions to society.</w:t>
      </w:r>
      <w:r>
        <w:rPr>
          <w:rFonts w:eastAsia="Times New Roman" w:cs="Helvetica"/>
          <w:bCs/>
          <w:color w:val="333333"/>
        </w:rPr>
        <w:t>”</w:t>
      </w:r>
    </w:p>
    <w:p w14:paraId="7EBD958C" w14:textId="77777777" w:rsidR="00953A82" w:rsidRPr="000B1DAA" w:rsidRDefault="00953A82" w:rsidP="00953A82">
      <w:pPr>
        <w:shd w:val="clear" w:color="auto" w:fill="FFFFFF"/>
        <w:spacing w:after="150" w:line="300" w:lineRule="atLeast"/>
        <w:ind w:left="-540" w:right="-540"/>
        <w:rPr>
          <w:rFonts w:eastAsia="Times New Roman" w:cs="Helvetica"/>
          <w:b/>
          <w:bCs/>
          <w:color w:val="333333"/>
          <w:sz w:val="24"/>
        </w:rPr>
      </w:pPr>
      <w:r w:rsidRPr="000B1DAA">
        <w:rPr>
          <w:rFonts w:eastAsia="Times New Roman" w:cs="Helvetica"/>
          <w:b/>
          <w:bCs/>
          <w:color w:val="333333"/>
          <w:sz w:val="24"/>
        </w:rPr>
        <w:t>Performance Indicators</w:t>
      </w:r>
    </w:p>
    <w:p w14:paraId="4A1F2248" w14:textId="1846C4A2" w:rsidR="00953A82" w:rsidRPr="000B1DAA" w:rsidRDefault="00953A82" w:rsidP="00953A82">
      <w:pPr>
        <w:shd w:val="clear" w:color="auto" w:fill="FFFFFF"/>
        <w:spacing w:after="150" w:line="300" w:lineRule="atLeast"/>
        <w:ind w:left="-540" w:right="-540"/>
        <w:rPr>
          <w:rFonts w:eastAsia="Times New Roman" w:cs="Helvetica"/>
          <w:color w:val="333333"/>
        </w:rPr>
      </w:pPr>
      <w:r w:rsidRPr="000B1DAA">
        <w:rPr>
          <w:rFonts w:eastAsia="Times New Roman" w:cs="Helvetica"/>
          <w:color w:val="333333"/>
        </w:rPr>
        <w:t xml:space="preserve">Performance Elements are defined through Performance Indicators that are specific work-based actions—either knowledge or skills. They specify what an individual worker must know or be able to do to achieve the Performance Elements. These learning outcomes are measureable (i.e., can be assessed). For example, </w:t>
      </w:r>
      <w:r>
        <w:rPr>
          <w:rFonts w:eastAsia="Times New Roman" w:cs="Helvetica"/>
          <w:color w:val="333333"/>
        </w:rPr>
        <w:t xml:space="preserve">one of the eight </w:t>
      </w:r>
      <w:r w:rsidRPr="000B1DAA">
        <w:rPr>
          <w:rFonts w:eastAsia="Times New Roman" w:cs="Helvetica"/>
          <w:color w:val="333333"/>
        </w:rPr>
        <w:t>Performance Indicators for the Economics Performance Element “</w:t>
      </w:r>
      <w:r w:rsidRPr="000B1DAA">
        <w:rPr>
          <w:rFonts w:eastAsia="Times New Roman" w:cs="Helvetica"/>
          <w:bCs/>
          <w:color w:val="333333"/>
        </w:rPr>
        <w:t>Understand the nature of business to show its contributions to society”</w:t>
      </w:r>
      <w:r w:rsidRPr="000B1DAA">
        <w:rPr>
          <w:rFonts w:eastAsia="Times New Roman" w:cs="Helvetica"/>
          <w:color w:val="333333"/>
        </w:rPr>
        <w:t xml:space="preserve"> </w:t>
      </w:r>
      <w:r>
        <w:rPr>
          <w:rFonts w:eastAsia="Times New Roman" w:cs="Helvetica"/>
          <w:color w:val="333333"/>
        </w:rPr>
        <w:t>is: “</w:t>
      </w:r>
      <w:r w:rsidRPr="000B1DAA">
        <w:rPr>
          <w:rFonts w:eastAsia="Times New Roman" w:cs="Helvetica"/>
          <w:color w:val="333333"/>
        </w:rPr>
        <w:t>EC:070 Explain t</w:t>
      </w:r>
      <w:r>
        <w:rPr>
          <w:rFonts w:eastAsia="Times New Roman" w:cs="Helvetica"/>
          <w:color w:val="333333"/>
        </w:rPr>
        <w:t>he role of business in society</w:t>
      </w:r>
      <w:r w:rsidR="00354A70">
        <w:rPr>
          <w:rFonts w:eastAsia="Times New Roman" w:cs="Helvetica"/>
          <w:color w:val="333333"/>
        </w:rPr>
        <w:t>.</w:t>
      </w:r>
      <w:r>
        <w:rPr>
          <w:rFonts w:eastAsia="Times New Roman" w:cs="Helvetica"/>
          <w:color w:val="333333"/>
        </w:rPr>
        <w:t>”</w:t>
      </w:r>
      <w:r w:rsidR="00C01BBF">
        <w:rPr>
          <w:rFonts w:eastAsia="Times New Roman" w:cs="Helvetica"/>
          <w:color w:val="333333"/>
        </w:rPr>
        <w:t xml:space="preserve"> </w:t>
      </w:r>
    </w:p>
    <w:p w14:paraId="2772F8E7" w14:textId="77777777" w:rsidR="00953A82" w:rsidRPr="000B1DAA" w:rsidRDefault="00953A82" w:rsidP="00953A82">
      <w:pPr>
        <w:shd w:val="clear" w:color="auto" w:fill="FFFFFF"/>
        <w:spacing w:after="150" w:line="300" w:lineRule="atLeast"/>
        <w:ind w:left="-540" w:right="-540"/>
        <w:rPr>
          <w:rFonts w:eastAsia="Times New Roman" w:cs="Helvetica"/>
          <w:b/>
          <w:color w:val="333333"/>
        </w:rPr>
      </w:pPr>
      <w:r w:rsidRPr="000B1DAA">
        <w:rPr>
          <w:rFonts w:eastAsia="Times New Roman" w:cs="Helvetica"/>
          <w:b/>
          <w:color w:val="333333"/>
        </w:rPr>
        <w:t>Objectives</w:t>
      </w:r>
    </w:p>
    <w:p w14:paraId="00C37A1B" w14:textId="77777777" w:rsidR="00953A82" w:rsidRPr="000B1DAA" w:rsidRDefault="00953A82" w:rsidP="00953A82">
      <w:pPr>
        <w:shd w:val="clear" w:color="auto" w:fill="FFFFFF"/>
        <w:spacing w:after="150" w:line="300" w:lineRule="atLeast"/>
        <w:ind w:left="-540" w:right="-540"/>
        <w:rPr>
          <w:rFonts w:eastAsia="Times New Roman" w:cs="Helvetica"/>
          <w:color w:val="333333"/>
        </w:rPr>
      </w:pPr>
      <w:r w:rsidRPr="000B1DAA">
        <w:rPr>
          <w:rFonts w:eastAsia="Times New Roman" w:cs="Helvetica"/>
          <w:color w:val="333333"/>
        </w:rPr>
        <w:t>Each of the Performance Indicators is further defined through a series of Objectives. This organizational component specifies the scope of each Performance Indicator. Their use tells teachers what content to include or exclude from their instruction. For example, the Performance Indicator “Describe the concepts of economics and economic activities” is defined through Objectives as follows: </w:t>
      </w:r>
    </w:p>
    <w:p w14:paraId="7A56F0D7" w14:textId="77777777" w:rsidR="006C48AE" w:rsidRDefault="00953A82" w:rsidP="006C48AE">
      <w:pPr>
        <w:pStyle w:val="ListParagraph"/>
        <w:numPr>
          <w:ilvl w:val="0"/>
          <w:numId w:val="10"/>
        </w:numPr>
        <w:spacing w:line="300" w:lineRule="atLeast"/>
        <w:ind w:left="180" w:right="-540"/>
        <w:rPr>
          <w:rFonts w:eastAsia="Times New Roman" w:cs="Helvetica"/>
          <w:color w:val="333333"/>
        </w:rPr>
      </w:pPr>
      <w:r w:rsidRPr="006C48AE">
        <w:rPr>
          <w:rFonts w:eastAsia="Times New Roman" w:cs="Helvetica"/>
          <w:color w:val="333333"/>
        </w:rPr>
        <w:t>Define the following terms: economics, scarcity, economizing, opportunity cost, trade-offs, consumption, consumer, production, producer, exchange, and distribution.</w:t>
      </w:r>
    </w:p>
    <w:p w14:paraId="6741C6D6" w14:textId="77777777" w:rsidR="006C48AE" w:rsidRDefault="00953A82" w:rsidP="006C48AE">
      <w:pPr>
        <w:pStyle w:val="ListParagraph"/>
        <w:numPr>
          <w:ilvl w:val="0"/>
          <w:numId w:val="10"/>
        </w:numPr>
        <w:spacing w:line="300" w:lineRule="atLeast"/>
        <w:ind w:left="180" w:right="-540"/>
        <w:rPr>
          <w:rFonts w:eastAsia="Times New Roman" w:cs="Helvetica"/>
          <w:color w:val="333333"/>
        </w:rPr>
      </w:pPr>
      <w:r w:rsidRPr="006C48AE">
        <w:rPr>
          <w:rFonts w:eastAsia="Times New Roman" w:cs="Helvetica"/>
          <w:color w:val="333333"/>
        </w:rPr>
        <w:t>Explain why wants are considered unlimited.</w:t>
      </w:r>
    </w:p>
    <w:p w14:paraId="05429193" w14:textId="77777777" w:rsidR="006C48AE" w:rsidRDefault="00953A82" w:rsidP="006C48AE">
      <w:pPr>
        <w:pStyle w:val="ListParagraph"/>
        <w:numPr>
          <w:ilvl w:val="0"/>
          <w:numId w:val="10"/>
        </w:numPr>
        <w:spacing w:line="300" w:lineRule="atLeast"/>
        <w:ind w:left="180" w:right="-540"/>
        <w:rPr>
          <w:rFonts w:eastAsia="Times New Roman" w:cs="Helvetica"/>
          <w:color w:val="333333"/>
        </w:rPr>
      </w:pPr>
      <w:r w:rsidRPr="006C48AE">
        <w:rPr>
          <w:rFonts w:eastAsia="Times New Roman" w:cs="Helvetica"/>
          <w:color w:val="333333"/>
        </w:rPr>
        <w:t>Discuss why scarcity exists.</w:t>
      </w:r>
    </w:p>
    <w:p w14:paraId="68EA8FAA" w14:textId="77777777" w:rsidR="006C48AE" w:rsidRDefault="00953A82" w:rsidP="006C48AE">
      <w:pPr>
        <w:pStyle w:val="ListParagraph"/>
        <w:numPr>
          <w:ilvl w:val="0"/>
          <w:numId w:val="10"/>
        </w:numPr>
        <w:spacing w:line="300" w:lineRule="atLeast"/>
        <w:ind w:left="180" w:right="-540"/>
        <w:rPr>
          <w:rFonts w:eastAsia="Times New Roman" w:cs="Helvetica"/>
          <w:color w:val="333333"/>
        </w:rPr>
      </w:pPr>
      <w:r w:rsidRPr="006C48AE">
        <w:rPr>
          <w:rFonts w:eastAsia="Times New Roman" w:cs="Helvetica"/>
          <w:color w:val="333333"/>
        </w:rPr>
        <w:t>Describe the three economic questions that all societies must answer.</w:t>
      </w:r>
    </w:p>
    <w:p w14:paraId="3C9B5461" w14:textId="77777777" w:rsidR="006C48AE" w:rsidRDefault="00953A82" w:rsidP="006C48AE">
      <w:pPr>
        <w:pStyle w:val="ListParagraph"/>
        <w:numPr>
          <w:ilvl w:val="0"/>
          <w:numId w:val="10"/>
        </w:numPr>
        <w:spacing w:line="300" w:lineRule="atLeast"/>
        <w:ind w:left="180" w:right="-540"/>
        <w:rPr>
          <w:rFonts w:eastAsia="Times New Roman" w:cs="Helvetica"/>
          <w:color w:val="333333"/>
        </w:rPr>
      </w:pPr>
      <w:r w:rsidRPr="006C48AE">
        <w:rPr>
          <w:rFonts w:eastAsia="Times New Roman" w:cs="Helvetica"/>
          <w:color w:val="333333"/>
        </w:rPr>
        <w:t>Explain the importance of decision making in economics.</w:t>
      </w:r>
    </w:p>
    <w:p w14:paraId="14BA7D3B" w14:textId="77777777" w:rsidR="006C48AE" w:rsidRDefault="006C48AE" w:rsidP="006C48AE">
      <w:pPr>
        <w:pStyle w:val="ListParagraph"/>
        <w:numPr>
          <w:ilvl w:val="0"/>
          <w:numId w:val="10"/>
        </w:numPr>
        <w:spacing w:line="300" w:lineRule="atLeast"/>
        <w:ind w:left="180" w:right="-540"/>
        <w:rPr>
          <w:rFonts w:eastAsia="Times New Roman" w:cs="Helvetica"/>
          <w:color w:val="333333"/>
        </w:rPr>
      </w:pPr>
      <w:r>
        <w:rPr>
          <w:rFonts w:eastAsia="Times New Roman" w:cs="Helvetica"/>
          <w:color w:val="333333"/>
        </w:rPr>
        <w:t>D</w:t>
      </w:r>
      <w:r w:rsidR="00953A82" w:rsidRPr="006C48AE">
        <w:rPr>
          <w:rFonts w:eastAsia="Times New Roman" w:cs="Helvetica"/>
          <w:color w:val="333333"/>
        </w:rPr>
        <w:t>escribe four economic activities.</w:t>
      </w:r>
    </w:p>
    <w:p w14:paraId="66301C86" w14:textId="5F09C43F" w:rsidR="00953A82" w:rsidRPr="006C48AE" w:rsidRDefault="00953A82" w:rsidP="006C48AE">
      <w:pPr>
        <w:pStyle w:val="ListParagraph"/>
        <w:numPr>
          <w:ilvl w:val="0"/>
          <w:numId w:val="10"/>
        </w:numPr>
        <w:spacing w:line="300" w:lineRule="atLeast"/>
        <w:ind w:left="180" w:right="-540"/>
        <w:rPr>
          <w:rFonts w:eastAsia="Times New Roman" w:cs="Helvetica"/>
          <w:color w:val="333333"/>
        </w:rPr>
      </w:pPr>
      <w:r w:rsidRPr="006C48AE">
        <w:rPr>
          <w:rFonts w:eastAsia="Times New Roman" w:cs="Helvetica"/>
          <w:color w:val="333333"/>
        </w:rPr>
        <w:t>Discuss three factors that affect the value of money payments in a market economy.</w:t>
      </w:r>
    </w:p>
    <w:p w14:paraId="5EC31BCB" w14:textId="77777777" w:rsidR="00953A82" w:rsidRPr="000B1DAA" w:rsidRDefault="00953A82" w:rsidP="00953A82">
      <w:pPr>
        <w:shd w:val="clear" w:color="auto" w:fill="FFFFFF"/>
        <w:spacing w:after="150" w:line="300" w:lineRule="atLeast"/>
        <w:ind w:left="-540" w:right="-540"/>
        <w:rPr>
          <w:rFonts w:eastAsia="Times New Roman" w:cs="Helvetica"/>
          <w:b/>
          <w:bCs/>
          <w:color w:val="333333"/>
          <w:sz w:val="24"/>
        </w:rPr>
      </w:pPr>
    </w:p>
    <w:p w14:paraId="7E0E1B40" w14:textId="77777777" w:rsidR="00354A70" w:rsidRDefault="00354A70" w:rsidP="00953A82">
      <w:pPr>
        <w:shd w:val="clear" w:color="auto" w:fill="FFFFFF"/>
        <w:spacing w:after="150" w:line="300" w:lineRule="atLeast"/>
        <w:ind w:left="-540" w:right="-540"/>
        <w:rPr>
          <w:rFonts w:eastAsia="Times New Roman" w:cs="Helvetica"/>
          <w:b/>
          <w:bCs/>
          <w:color w:val="333333"/>
          <w:sz w:val="24"/>
        </w:rPr>
      </w:pPr>
      <w:r>
        <w:rPr>
          <w:rFonts w:eastAsia="Times New Roman" w:cs="Helvetica"/>
          <w:b/>
          <w:bCs/>
          <w:color w:val="333333"/>
          <w:sz w:val="24"/>
        </w:rPr>
        <w:br w:type="page"/>
      </w:r>
    </w:p>
    <w:p w14:paraId="7E3864A7" w14:textId="77777777" w:rsidR="00953A82" w:rsidRPr="000B1DAA" w:rsidRDefault="00953A82" w:rsidP="00953A82">
      <w:pPr>
        <w:shd w:val="clear" w:color="auto" w:fill="FFFFFF"/>
        <w:spacing w:after="150" w:line="300" w:lineRule="atLeast"/>
        <w:ind w:left="-540" w:right="-540"/>
        <w:rPr>
          <w:rFonts w:eastAsia="Times New Roman" w:cs="Helvetica"/>
          <w:b/>
          <w:bCs/>
          <w:color w:val="333333"/>
          <w:sz w:val="24"/>
        </w:rPr>
      </w:pPr>
      <w:r w:rsidRPr="000B1DAA">
        <w:rPr>
          <w:rFonts w:eastAsia="Times New Roman" w:cs="Helvetica"/>
          <w:b/>
          <w:bCs/>
          <w:color w:val="333333"/>
          <w:sz w:val="24"/>
        </w:rPr>
        <w:lastRenderedPageBreak/>
        <w:t>Curriculum Planning Levels</w:t>
      </w:r>
    </w:p>
    <w:p w14:paraId="547A44FE" w14:textId="77777777" w:rsidR="00953A82" w:rsidRPr="000B1DAA" w:rsidRDefault="00953A82" w:rsidP="00953A82">
      <w:pPr>
        <w:shd w:val="clear" w:color="auto" w:fill="FFFFFF"/>
        <w:spacing w:after="150" w:line="300" w:lineRule="atLeast"/>
        <w:ind w:left="-540" w:right="-540"/>
        <w:rPr>
          <w:rFonts w:eastAsia="Times New Roman" w:cs="Helvetica"/>
          <w:color w:val="333333"/>
        </w:rPr>
      </w:pPr>
      <w:r w:rsidRPr="000B1DAA">
        <w:rPr>
          <w:rFonts w:eastAsia="Times New Roman" w:cs="Helvetica"/>
          <w:color w:val="333333"/>
        </w:rPr>
        <w:t>Each performance indicator is assigned to one of six curriculum-planning levels that represent a continuum of instruction ranging from simple to complex. The levels can serve as building blocks for curriculum development in that students should know and be able to perform the performance indicators at one level before tackling more complex skills and knowledge at the next level. The six curriculum-planning levels are described as follows:</w:t>
      </w:r>
    </w:p>
    <w:p w14:paraId="71B59485" w14:textId="77777777" w:rsidR="00D3097A" w:rsidRDefault="00953A82" w:rsidP="00953A82">
      <w:pPr>
        <w:shd w:val="clear" w:color="auto" w:fill="FFFFFF"/>
        <w:spacing w:after="150" w:line="300" w:lineRule="atLeast"/>
        <w:ind w:left="-540" w:right="-540"/>
        <w:rPr>
          <w:rFonts w:eastAsia="Times New Roman" w:cs="Helvetica"/>
          <w:b/>
          <w:bCs/>
          <w:color w:val="333333"/>
        </w:rPr>
      </w:pPr>
      <w:r w:rsidRPr="000B1DAA">
        <w:rPr>
          <w:rFonts w:eastAsia="Times New Roman" w:cs="Helvetica"/>
          <w:b/>
          <w:bCs/>
          <w:color w:val="333333"/>
        </w:rPr>
        <w:t>Prerequisite (PQ): </w:t>
      </w:r>
    </w:p>
    <w:p w14:paraId="5E0FA0C2" w14:textId="77777777" w:rsidR="00D3097A" w:rsidRDefault="00953A82" w:rsidP="00D3097A">
      <w:pPr>
        <w:numPr>
          <w:ilvl w:val="0"/>
          <w:numId w:val="2"/>
        </w:numPr>
        <w:shd w:val="clear" w:color="auto" w:fill="FFFFFF"/>
        <w:spacing w:after="150" w:line="300" w:lineRule="atLeast"/>
        <w:ind w:left="173" w:right="-547"/>
        <w:rPr>
          <w:rFonts w:eastAsia="Times New Roman" w:cs="Helvetica"/>
          <w:color w:val="333333"/>
        </w:rPr>
      </w:pPr>
      <w:r w:rsidRPr="000B1DAA">
        <w:rPr>
          <w:rFonts w:eastAsia="Times New Roman" w:cs="Helvetica"/>
          <w:color w:val="333333"/>
        </w:rPr>
        <w:t>Content develops employability and job-survival skills and concepts, including work ethics, personal appearance</w:t>
      </w:r>
      <w:r w:rsidR="00D3097A">
        <w:rPr>
          <w:rFonts w:eastAsia="Times New Roman" w:cs="Helvetica"/>
          <w:color w:val="333333"/>
        </w:rPr>
        <w:t>, and general business behavior</w:t>
      </w:r>
    </w:p>
    <w:p w14:paraId="189728CB" w14:textId="77777777" w:rsidR="00953A82" w:rsidRPr="000B1DAA" w:rsidRDefault="00D3097A" w:rsidP="00D3097A">
      <w:pPr>
        <w:numPr>
          <w:ilvl w:val="0"/>
          <w:numId w:val="2"/>
        </w:numPr>
        <w:shd w:val="clear" w:color="auto" w:fill="FFFFFF"/>
        <w:spacing w:after="150" w:line="300" w:lineRule="atLeast"/>
        <w:ind w:left="173" w:right="-547"/>
        <w:rPr>
          <w:rFonts w:eastAsia="Times New Roman" w:cs="Helvetica"/>
          <w:color w:val="333333"/>
        </w:rPr>
      </w:pPr>
      <w:r>
        <w:rPr>
          <w:rFonts w:eastAsia="Times New Roman" w:cs="Helvetica"/>
          <w:color w:val="333333"/>
        </w:rPr>
        <w:t>Appropriate for 9</w:t>
      </w:r>
      <w:r w:rsidRPr="00D3097A">
        <w:rPr>
          <w:rFonts w:eastAsia="Times New Roman" w:cs="Helvetica"/>
          <w:color w:val="333333"/>
          <w:vertAlign w:val="superscript"/>
        </w:rPr>
        <w:t>th</w:t>
      </w:r>
      <w:r>
        <w:rPr>
          <w:rFonts w:eastAsia="Times New Roman" w:cs="Helvetica"/>
          <w:color w:val="333333"/>
        </w:rPr>
        <w:t>-11</w:t>
      </w:r>
      <w:r w:rsidRPr="00D3097A">
        <w:rPr>
          <w:rFonts w:eastAsia="Times New Roman" w:cs="Helvetica"/>
          <w:color w:val="333333"/>
          <w:vertAlign w:val="superscript"/>
        </w:rPr>
        <w:t>th</w:t>
      </w:r>
      <w:r>
        <w:rPr>
          <w:rFonts w:eastAsia="Times New Roman" w:cs="Helvetica"/>
          <w:color w:val="333333"/>
        </w:rPr>
        <w:t xml:space="preserve"> graders, </w:t>
      </w:r>
      <w:r w:rsidRPr="00D3097A">
        <w:rPr>
          <w:rFonts w:eastAsia="Times New Roman" w:cs="Helvetica"/>
          <w:color w:val="333333"/>
        </w:rPr>
        <w:t>students with little/</w:t>
      </w:r>
      <w:r>
        <w:rPr>
          <w:rFonts w:eastAsia="Times New Roman" w:cs="Helvetica"/>
          <w:color w:val="333333"/>
        </w:rPr>
        <w:t>no business background, and</w:t>
      </w:r>
      <w:r w:rsidRPr="00D3097A">
        <w:rPr>
          <w:rFonts w:eastAsia="Times New Roman" w:cs="Helvetica"/>
          <w:color w:val="333333"/>
        </w:rPr>
        <w:t xml:space="preserve"> students with special needs</w:t>
      </w:r>
    </w:p>
    <w:p w14:paraId="7A049FF3" w14:textId="77777777" w:rsidR="00D3097A" w:rsidRDefault="00953A82" w:rsidP="00953A82">
      <w:pPr>
        <w:shd w:val="clear" w:color="auto" w:fill="FFFFFF"/>
        <w:spacing w:after="150" w:line="300" w:lineRule="atLeast"/>
        <w:ind w:left="-540" w:right="-540"/>
        <w:rPr>
          <w:rFonts w:eastAsia="Times New Roman" w:cs="Helvetica"/>
          <w:color w:val="333333"/>
        </w:rPr>
      </w:pPr>
      <w:r w:rsidRPr="000B1DAA">
        <w:rPr>
          <w:rFonts w:eastAsia="Times New Roman" w:cs="Helvetica"/>
          <w:b/>
          <w:bCs/>
          <w:color w:val="333333"/>
        </w:rPr>
        <w:t>Career Sustaining (CS):</w:t>
      </w:r>
      <w:r w:rsidRPr="000B1DAA">
        <w:rPr>
          <w:rFonts w:eastAsia="Times New Roman" w:cs="Helvetica"/>
          <w:color w:val="333333"/>
        </w:rPr>
        <w:t> </w:t>
      </w:r>
    </w:p>
    <w:p w14:paraId="1E7933ED" w14:textId="77777777" w:rsidR="00953A82" w:rsidRDefault="00953A82" w:rsidP="00D3097A">
      <w:pPr>
        <w:numPr>
          <w:ilvl w:val="0"/>
          <w:numId w:val="3"/>
        </w:numPr>
        <w:shd w:val="clear" w:color="auto" w:fill="FFFFFF"/>
        <w:spacing w:after="150" w:line="300" w:lineRule="atLeast"/>
        <w:ind w:right="-540"/>
        <w:rPr>
          <w:rFonts w:eastAsia="Times New Roman" w:cs="Helvetica"/>
          <w:color w:val="333333"/>
        </w:rPr>
      </w:pPr>
      <w:r w:rsidRPr="000B1DAA">
        <w:rPr>
          <w:rFonts w:eastAsia="Times New Roman" w:cs="Helvetica"/>
          <w:color w:val="333333"/>
        </w:rPr>
        <w:t>Content develops skills and knowledge needed for continued employment in or study of business based on the application of basi</w:t>
      </w:r>
      <w:r w:rsidR="00D3097A">
        <w:rPr>
          <w:rFonts w:eastAsia="Times New Roman" w:cs="Helvetica"/>
          <w:color w:val="333333"/>
        </w:rPr>
        <w:t>c academics and business skills</w:t>
      </w:r>
    </w:p>
    <w:p w14:paraId="2AC9CE4F" w14:textId="77777777" w:rsidR="00D3097A" w:rsidRPr="000B1DAA" w:rsidRDefault="004C08D7" w:rsidP="00D3097A">
      <w:pPr>
        <w:numPr>
          <w:ilvl w:val="0"/>
          <w:numId w:val="3"/>
        </w:numPr>
        <w:shd w:val="clear" w:color="auto" w:fill="FFFFFF"/>
        <w:spacing w:after="150" w:line="300" w:lineRule="atLeast"/>
        <w:ind w:right="-540"/>
        <w:rPr>
          <w:rFonts w:eastAsia="Times New Roman" w:cs="Helvetica"/>
          <w:color w:val="333333"/>
        </w:rPr>
      </w:pPr>
      <w:r>
        <w:rPr>
          <w:rFonts w:eastAsia="Times New Roman" w:cs="Helvetica"/>
          <w:color w:val="333333"/>
        </w:rPr>
        <w:t xml:space="preserve">Appropriate for </w:t>
      </w:r>
      <w:r w:rsidR="00D3097A">
        <w:rPr>
          <w:rFonts w:eastAsia="Times New Roman" w:cs="Helvetica"/>
          <w:color w:val="333333"/>
        </w:rPr>
        <w:t>“</w:t>
      </w:r>
      <w:r>
        <w:rPr>
          <w:rFonts w:eastAsia="Times New Roman" w:cs="Helvetica"/>
          <w:color w:val="333333"/>
        </w:rPr>
        <w:t>t</w:t>
      </w:r>
      <w:r w:rsidR="00D3097A" w:rsidRPr="00D3097A">
        <w:rPr>
          <w:rFonts w:eastAsia="Times New Roman" w:cs="Helvetica"/>
          <w:color w:val="333333"/>
        </w:rPr>
        <w:t>ypical” high-school students of average and above-average abilities and interest</w:t>
      </w:r>
    </w:p>
    <w:p w14:paraId="1AFC83EB" w14:textId="77777777" w:rsidR="00D3097A" w:rsidRDefault="00953A82" w:rsidP="00953A82">
      <w:pPr>
        <w:shd w:val="clear" w:color="auto" w:fill="FFFFFF"/>
        <w:spacing w:after="150" w:line="300" w:lineRule="atLeast"/>
        <w:ind w:left="-540" w:right="-540"/>
        <w:rPr>
          <w:rFonts w:eastAsia="Times New Roman" w:cs="Helvetica"/>
          <w:b/>
          <w:bCs/>
          <w:color w:val="333333"/>
        </w:rPr>
      </w:pPr>
      <w:r w:rsidRPr="000B1DAA">
        <w:rPr>
          <w:rFonts w:eastAsia="Times New Roman" w:cs="Helvetica"/>
          <w:b/>
          <w:bCs/>
          <w:color w:val="333333"/>
        </w:rPr>
        <w:t>Specialist (SP): </w:t>
      </w:r>
    </w:p>
    <w:p w14:paraId="645D9254" w14:textId="77777777" w:rsidR="00953A82" w:rsidRDefault="00953A82" w:rsidP="00D3097A">
      <w:pPr>
        <w:numPr>
          <w:ilvl w:val="0"/>
          <w:numId w:val="4"/>
        </w:numPr>
        <w:shd w:val="clear" w:color="auto" w:fill="FFFFFF"/>
        <w:spacing w:after="150" w:line="300" w:lineRule="atLeast"/>
        <w:ind w:right="-540"/>
        <w:rPr>
          <w:rFonts w:eastAsia="Times New Roman" w:cs="Helvetica"/>
          <w:color w:val="333333"/>
        </w:rPr>
      </w:pPr>
      <w:r w:rsidRPr="000B1DAA">
        <w:rPr>
          <w:rFonts w:eastAsia="Times New Roman" w:cs="Helvetica"/>
          <w:color w:val="333333"/>
        </w:rPr>
        <w:t>Content provides in-depth, solid understanding and skill develo</w:t>
      </w:r>
      <w:r w:rsidR="00D3097A">
        <w:rPr>
          <w:rFonts w:eastAsia="Times New Roman" w:cs="Helvetica"/>
          <w:color w:val="333333"/>
        </w:rPr>
        <w:t>pment in all business functions</w:t>
      </w:r>
    </w:p>
    <w:p w14:paraId="74C3970D" w14:textId="77777777" w:rsidR="00D3097A" w:rsidRPr="000B1DAA" w:rsidRDefault="004C08D7" w:rsidP="00D3097A">
      <w:pPr>
        <w:numPr>
          <w:ilvl w:val="0"/>
          <w:numId w:val="4"/>
        </w:numPr>
        <w:shd w:val="clear" w:color="auto" w:fill="FFFFFF"/>
        <w:spacing w:after="150" w:line="300" w:lineRule="atLeast"/>
        <w:ind w:right="-540"/>
        <w:rPr>
          <w:rFonts w:eastAsia="Times New Roman" w:cs="Helvetica"/>
          <w:color w:val="333333"/>
        </w:rPr>
      </w:pPr>
      <w:r>
        <w:rPr>
          <w:rFonts w:eastAsia="Times New Roman" w:cs="Helvetica"/>
          <w:color w:val="333333"/>
        </w:rPr>
        <w:t>Appropriate for a</w:t>
      </w:r>
      <w:r w:rsidR="00D3097A" w:rsidRPr="00D3097A">
        <w:rPr>
          <w:rFonts w:eastAsia="Times New Roman" w:cs="Helvetica"/>
          <w:color w:val="333333"/>
        </w:rPr>
        <w:t>dvanced high school students</w:t>
      </w:r>
      <w:r>
        <w:rPr>
          <w:rFonts w:eastAsia="Times New Roman" w:cs="Helvetica"/>
          <w:color w:val="333333"/>
        </w:rPr>
        <w:t xml:space="preserve"> and post-secondary students</w:t>
      </w:r>
    </w:p>
    <w:p w14:paraId="0E86B534" w14:textId="77777777" w:rsidR="00D3097A" w:rsidRDefault="00953A82" w:rsidP="00953A82">
      <w:pPr>
        <w:shd w:val="clear" w:color="auto" w:fill="FFFFFF"/>
        <w:spacing w:after="150" w:line="300" w:lineRule="atLeast"/>
        <w:ind w:left="-540" w:right="-540"/>
        <w:rPr>
          <w:rFonts w:eastAsia="Times New Roman" w:cs="Helvetica"/>
          <w:color w:val="333333"/>
        </w:rPr>
      </w:pPr>
      <w:r w:rsidRPr="000B1DAA">
        <w:rPr>
          <w:rFonts w:eastAsia="Times New Roman" w:cs="Helvetica"/>
          <w:b/>
          <w:bCs/>
          <w:color w:val="333333"/>
        </w:rPr>
        <w:t>Supervisor (SU):</w:t>
      </w:r>
      <w:r w:rsidRPr="000B1DAA">
        <w:rPr>
          <w:rFonts w:eastAsia="Times New Roman" w:cs="Helvetica"/>
          <w:color w:val="333333"/>
        </w:rPr>
        <w:t> </w:t>
      </w:r>
    </w:p>
    <w:p w14:paraId="60E23985" w14:textId="77777777" w:rsidR="00953A82" w:rsidRDefault="00953A82" w:rsidP="00D3097A">
      <w:pPr>
        <w:numPr>
          <w:ilvl w:val="0"/>
          <w:numId w:val="5"/>
        </w:numPr>
        <w:shd w:val="clear" w:color="auto" w:fill="FFFFFF"/>
        <w:spacing w:after="150" w:line="300" w:lineRule="atLeast"/>
        <w:ind w:right="-540"/>
        <w:rPr>
          <w:rFonts w:eastAsia="Times New Roman" w:cs="Helvetica"/>
          <w:color w:val="333333"/>
        </w:rPr>
      </w:pPr>
      <w:r w:rsidRPr="000B1DAA">
        <w:rPr>
          <w:rFonts w:eastAsia="Times New Roman" w:cs="Helvetica"/>
          <w:color w:val="333333"/>
        </w:rPr>
        <w:t xml:space="preserve">Content provides the same in-depth, solid understanding and skill development in all business functions as in the specialist curriculum, and in addition, incorporates content that addresses the supervision </w:t>
      </w:r>
      <w:r w:rsidR="00D3097A">
        <w:rPr>
          <w:rFonts w:eastAsia="Times New Roman" w:cs="Helvetica"/>
          <w:color w:val="333333"/>
        </w:rPr>
        <w:t>of people</w:t>
      </w:r>
    </w:p>
    <w:p w14:paraId="61C594E8" w14:textId="77777777" w:rsidR="00D3097A" w:rsidRPr="000B1DAA" w:rsidRDefault="004C08D7" w:rsidP="00D3097A">
      <w:pPr>
        <w:numPr>
          <w:ilvl w:val="0"/>
          <w:numId w:val="5"/>
        </w:numPr>
        <w:shd w:val="clear" w:color="auto" w:fill="FFFFFF"/>
        <w:spacing w:after="150" w:line="300" w:lineRule="atLeast"/>
        <w:ind w:right="-540"/>
        <w:rPr>
          <w:rFonts w:eastAsia="Times New Roman" w:cs="Helvetica"/>
          <w:color w:val="333333"/>
        </w:rPr>
      </w:pPr>
      <w:r>
        <w:rPr>
          <w:rFonts w:eastAsia="Times New Roman" w:cs="Helvetica"/>
          <w:color w:val="333333"/>
        </w:rPr>
        <w:t>Appropriate for y</w:t>
      </w:r>
      <w:r w:rsidR="00D3097A" w:rsidRPr="00D3097A">
        <w:rPr>
          <w:rFonts w:eastAsia="Times New Roman" w:cs="Helvetica"/>
          <w:color w:val="333333"/>
        </w:rPr>
        <w:t>oung adults at post-secondary level</w:t>
      </w:r>
    </w:p>
    <w:p w14:paraId="73EE7034" w14:textId="77777777" w:rsidR="004C08D7" w:rsidRDefault="00953A82" w:rsidP="00953A82">
      <w:pPr>
        <w:shd w:val="clear" w:color="auto" w:fill="FFFFFF"/>
        <w:spacing w:after="150" w:line="300" w:lineRule="atLeast"/>
        <w:ind w:left="-540" w:right="-540"/>
        <w:rPr>
          <w:rFonts w:eastAsia="Times New Roman" w:cs="Helvetica"/>
          <w:color w:val="333333"/>
        </w:rPr>
      </w:pPr>
      <w:r w:rsidRPr="000B1DAA">
        <w:rPr>
          <w:rFonts w:eastAsia="Times New Roman" w:cs="Helvetica"/>
          <w:b/>
          <w:bCs/>
          <w:color w:val="333333"/>
        </w:rPr>
        <w:t>Manager (MN):</w:t>
      </w:r>
      <w:r w:rsidRPr="000B1DAA">
        <w:rPr>
          <w:rFonts w:eastAsia="Times New Roman" w:cs="Helvetica"/>
          <w:color w:val="333333"/>
        </w:rPr>
        <w:t> </w:t>
      </w:r>
    </w:p>
    <w:p w14:paraId="1D53789F" w14:textId="77777777" w:rsidR="00953A82" w:rsidRDefault="00953A82" w:rsidP="004C08D7">
      <w:pPr>
        <w:numPr>
          <w:ilvl w:val="0"/>
          <w:numId w:val="6"/>
        </w:numPr>
        <w:shd w:val="clear" w:color="auto" w:fill="FFFFFF"/>
        <w:spacing w:after="150" w:line="300" w:lineRule="atLeast"/>
        <w:ind w:right="-540"/>
        <w:rPr>
          <w:rFonts w:eastAsia="Times New Roman" w:cs="Helvetica"/>
          <w:color w:val="333333"/>
        </w:rPr>
      </w:pPr>
      <w:r w:rsidRPr="000B1DAA">
        <w:rPr>
          <w:rFonts w:eastAsia="Times New Roman" w:cs="Helvetica"/>
          <w:color w:val="333333"/>
        </w:rPr>
        <w:t>Content develops strategic decision-making skills in all business functions needed to manage a business or de</w:t>
      </w:r>
      <w:r w:rsidR="004C08D7">
        <w:rPr>
          <w:rFonts w:eastAsia="Times New Roman" w:cs="Helvetica"/>
          <w:color w:val="333333"/>
        </w:rPr>
        <w:t>partment within an organization</w:t>
      </w:r>
    </w:p>
    <w:p w14:paraId="26473DCF" w14:textId="77777777" w:rsidR="004C08D7" w:rsidRPr="000B1DAA" w:rsidRDefault="004C08D7" w:rsidP="004C08D7">
      <w:pPr>
        <w:numPr>
          <w:ilvl w:val="0"/>
          <w:numId w:val="6"/>
        </w:numPr>
        <w:shd w:val="clear" w:color="auto" w:fill="FFFFFF"/>
        <w:spacing w:after="150" w:line="300" w:lineRule="atLeast"/>
        <w:ind w:right="-540"/>
        <w:rPr>
          <w:rFonts w:eastAsia="Times New Roman" w:cs="Helvetica"/>
          <w:color w:val="333333"/>
        </w:rPr>
      </w:pPr>
      <w:r>
        <w:rPr>
          <w:rFonts w:eastAsia="Times New Roman" w:cs="Helvetica"/>
          <w:color w:val="333333"/>
        </w:rPr>
        <w:t>Appropriate for y</w:t>
      </w:r>
      <w:r w:rsidRPr="00D3097A">
        <w:rPr>
          <w:rFonts w:eastAsia="Times New Roman" w:cs="Helvetica"/>
          <w:color w:val="333333"/>
        </w:rPr>
        <w:t>oung adults at post-secondary level</w:t>
      </w:r>
    </w:p>
    <w:p w14:paraId="161B0412" w14:textId="77777777" w:rsidR="004C08D7" w:rsidRDefault="00953A82" w:rsidP="00953A82">
      <w:pPr>
        <w:shd w:val="clear" w:color="auto" w:fill="FFFFFF"/>
        <w:spacing w:after="150" w:line="300" w:lineRule="atLeast"/>
        <w:ind w:left="-540" w:right="-540"/>
        <w:rPr>
          <w:rFonts w:eastAsia="Times New Roman" w:cs="Helvetica"/>
          <w:b/>
          <w:bCs/>
          <w:color w:val="333333"/>
        </w:rPr>
      </w:pPr>
      <w:r w:rsidRPr="000B1DAA">
        <w:rPr>
          <w:rFonts w:eastAsia="Times New Roman" w:cs="Helvetica"/>
          <w:b/>
          <w:bCs/>
          <w:color w:val="333333"/>
        </w:rPr>
        <w:t>Owner (ON): </w:t>
      </w:r>
    </w:p>
    <w:p w14:paraId="2577E029" w14:textId="77777777" w:rsidR="00953A82" w:rsidRDefault="00953A82" w:rsidP="004C08D7">
      <w:pPr>
        <w:numPr>
          <w:ilvl w:val="0"/>
          <w:numId w:val="7"/>
        </w:numPr>
        <w:shd w:val="clear" w:color="auto" w:fill="FFFFFF"/>
        <w:spacing w:after="150" w:line="300" w:lineRule="atLeast"/>
        <w:ind w:right="-540"/>
        <w:rPr>
          <w:rFonts w:eastAsia="Times New Roman" w:cs="Helvetica"/>
          <w:color w:val="333333"/>
        </w:rPr>
      </w:pPr>
      <w:r w:rsidRPr="000B1DAA">
        <w:rPr>
          <w:rFonts w:eastAsia="Times New Roman" w:cs="Helvetica"/>
          <w:color w:val="333333"/>
        </w:rPr>
        <w:t>Content develops strategic decision-making skills in all aspects of business that are neede</w:t>
      </w:r>
      <w:r w:rsidR="004C08D7">
        <w:rPr>
          <w:rFonts w:eastAsia="Times New Roman" w:cs="Helvetica"/>
          <w:color w:val="333333"/>
        </w:rPr>
        <w:t>d to own and operate a business</w:t>
      </w:r>
    </w:p>
    <w:p w14:paraId="02DF5286" w14:textId="77777777" w:rsidR="004C08D7" w:rsidRPr="000B1DAA" w:rsidRDefault="004C08D7" w:rsidP="004C08D7">
      <w:pPr>
        <w:numPr>
          <w:ilvl w:val="0"/>
          <w:numId w:val="7"/>
        </w:numPr>
        <w:shd w:val="clear" w:color="auto" w:fill="FFFFFF"/>
        <w:spacing w:after="150" w:line="300" w:lineRule="atLeast"/>
        <w:ind w:right="-540"/>
        <w:rPr>
          <w:rFonts w:eastAsia="Times New Roman" w:cs="Helvetica"/>
          <w:color w:val="333333"/>
        </w:rPr>
      </w:pPr>
      <w:r>
        <w:rPr>
          <w:rFonts w:eastAsia="Times New Roman" w:cs="Helvetica"/>
          <w:color w:val="333333"/>
        </w:rPr>
        <w:t>Appropriate for y</w:t>
      </w:r>
      <w:r w:rsidRPr="00D3097A">
        <w:rPr>
          <w:rFonts w:eastAsia="Times New Roman" w:cs="Helvetica"/>
          <w:color w:val="333333"/>
        </w:rPr>
        <w:t>oung adults at post-secondary level</w:t>
      </w:r>
    </w:p>
    <w:p w14:paraId="23954E4F" w14:textId="77777777" w:rsidR="00900D26" w:rsidRDefault="00900D26" w:rsidP="000643D2">
      <w:pPr>
        <w:shd w:val="clear" w:color="auto" w:fill="FFFFFF"/>
        <w:spacing w:after="150" w:line="300" w:lineRule="atLeast"/>
        <w:ind w:left="-540" w:right="-540"/>
        <w:rPr>
          <w:rFonts w:eastAsia="Times New Roman" w:cs="Helvetica"/>
          <w:b/>
          <w:bCs/>
          <w:color w:val="333333"/>
          <w:sz w:val="24"/>
        </w:rPr>
      </w:pPr>
      <w:r>
        <w:rPr>
          <w:rFonts w:eastAsia="Times New Roman" w:cs="Helvetica"/>
          <w:b/>
          <w:bCs/>
          <w:color w:val="333333"/>
          <w:sz w:val="24"/>
        </w:rPr>
        <w:br w:type="page"/>
      </w:r>
    </w:p>
    <w:p w14:paraId="31E9FB3A" w14:textId="77777777" w:rsidR="000643D2" w:rsidRDefault="000643D2" w:rsidP="000643D2">
      <w:pPr>
        <w:shd w:val="clear" w:color="auto" w:fill="FFFFFF"/>
        <w:spacing w:after="150" w:line="300" w:lineRule="atLeast"/>
        <w:ind w:left="-540" w:right="-540"/>
        <w:rPr>
          <w:rFonts w:eastAsia="Times New Roman" w:cs="Helvetica"/>
          <w:b/>
          <w:bCs/>
          <w:color w:val="333333"/>
          <w:sz w:val="24"/>
        </w:rPr>
      </w:pPr>
      <w:r>
        <w:rPr>
          <w:rFonts w:eastAsia="Times New Roman" w:cs="Helvetica"/>
          <w:b/>
          <w:bCs/>
          <w:color w:val="333333"/>
          <w:sz w:val="24"/>
        </w:rPr>
        <w:lastRenderedPageBreak/>
        <w:t>Deciphering the Code</w:t>
      </w:r>
    </w:p>
    <w:p w14:paraId="7857A154" w14:textId="77777777" w:rsidR="000643D2" w:rsidRDefault="000643D2" w:rsidP="000643D2">
      <w:pPr>
        <w:shd w:val="clear" w:color="auto" w:fill="FFFFFF"/>
        <w:spacing w:after="150" w:line="300" w:lineRule="atLeast"/>
        <w:ind w:left="-540" w:right="-540"/>
        <w:rPr>
          <w:rFonts w:eastAsia="Times New Roman" w:cs="Helvetica"/>
          <w:bCs/>
          <w:color w:val="333333"/>
        </w:rPr>
      </w:pPr>
      <w:r>
        <w:rPr>
          <w:rFonts w:eastAsia="Times New Roman" w:cs="Helvetica"/>
          <w:bCs/>
          <w:color w:val="333333"/>
        </w:rPr>
        <w:t>Each performance indicator statement is preceded by</w:t>
      </w:r>
      <w:r w:rsidR="00151921">
        <w:rPr>
          <w:rFonts w:eastAsia="Times New Roman" w:cs="Helvetica"/>
          <w:bCs/>
          <w:color w:val="333333"/>
        </w:rPr>
        <w:t>—</w:t>
      </w:r>
      <w:r>
        <w:rPr>
          <w:rFonts w:eastAsia="Times New Roman" w:cs="Helvetica"/>
          <w:bCs/>
          <w:color w:val="333333"/>
        </w:rPr>
        <w:t>as well as followed by</w:t>
      </w:r>
      <w:r w:rsidR="00151921">
        <w:rPr>
          <w:rFonts w:eastAsia="Times New Roman" w:cs="Helvetica"/>
          <w:bCs/>
          <w:color w:val="333333"/>
        </w:rPr>
        <w:t>—</w:t>
      </w:r>
      <w:r>
        <w:rPr>
          <w:rFonts w:eastAsia="Times New Roman" w:cs="Helvetica"/>
          <w:bCs/>
          <w:color w:val="333333"/>
        </w:rPr>
        <w:t>multiple codes, as in the following example:</w:t>
      </w:r>
      <w:r w:rsidRPr="000643D2">
        <w:rPr>
          <w:noProof/>
        </w:rPr>
        <w:t xml:space="preserve"> </w:t>
      </w:r>
    </w:p>
    <w:p w14:paraId="54D51BBC" w14:textId="77777777" w:rsidR="000643D2" w:rsidRPr="000643D2" w:rsidRDefault="000643D2" w:rsidP="00D3097A">
      <w:pPr>
        <w:shd w:val="clear" w:color="auto" w:fill="FFFFFF"/>
        <w:spacing w:after="0" w:line="300" w:lineRule="atLeast"/>
        <w:ind w:left="360" w:right="-540"/>
        <w:rPr>
          <w:rFonts w:cstheme="minorHAnsi"/>
          <w:b/>
          <w:color w:val="333333"/>
          <w:szCs w:val="21"/>
          <w:shd w:val="clear" w:color="auto" w:fill="FFFFFF"/>
        </w:rPr>
      </w:pPr>
      <w:r w:rsidRPr="000643D2">
        <w:rPr>
          <w:rFonts w:cstheme="minorHAnsi"/>
          <w:b/>
          <w:color w:val="333333"/>
          <w:szCs w:val="21"/>
        </w:rPr>
        <w:t>EC:070 Explain the role of business in society </w:t>
      </w:r>
      <w:r w:rsidRPr="000643D2">
        <w:rPr>
          <w:rFonts w:cstheme="minorHAnsi"/>
          <w:b/>
          <w:color w:val="333333"/>
          <w:szCs w:val="21"/>
          <w:shd w:val="clear" w:color="auto" w:fill="FFFFFF"/>
        </w:rPr>
        <w:t>(CS) LAP-EC-070</w:t>
      </w:r>
      <w:r w:rsidR="00D3097A">
        <w:rPr>
          <w:rFonts w:cstheme="minorHAnsi"/>
          <w:b/>
          <w:color w:val="333333"/>
          <w:szCs w:val="21"/>
          <w:shd w:val="clear" w:color="auto" w:fill="FFFFFF"/>
        </w:rPr>
        <w:br/>
      </w:r>
    </w:p>
    <w:p w14:paraId="0E95DDD5" w14:textId="77777777" w:rsidR="00D3097A" w:rsidRDefault="00D3097A" w:rsidP="00D3097A">
      <w:pPr>
        <w:shd w:val="clear" w:color="auto" w:fill="FFFFFF"/>
        <w:spacing w:after="150" w:line="300" w:lineRule="atLeast"/>
        <w:ind w:left="-547" w:right="-547"/>
        <w:rPr>
          <w:rFonts w:eastAsia="Times New Roman" w:cs="Helvetica"/>
          <w:b/>
          <w:bCs/>
          <w:color w:val="333333"/>
        </w:rPr>
      </w:pPr>
      <w:r>
        <w:rPr>
          <w:rFonts w:eastAsia="Times New Roman" w:cs="Helvetica"/>
          <w:b/>
          <w:bCs/>
          <w:color w:val="333333"/>
        </w:rPr>
        <w:t>Performance Indicator Number/Code</w:t>
      </w:r>
    </w:p>
    <w:p w14:paraId="266BE263" w14:textId="77777777" w:rsidR="00EA6B4E" w:rsidRDefault="00EA6B4E" w:rsidP="00D3097A">
      <w:pPr>
        <w:shd w:val="clear" w:color="auto" w:fill="FFFFFF"/>
        <w:spacing w:after="150" w:line="300" w:lineRule="atLeast"/>
        <w:ind w:left="-547" w:right="-547"/>
        <w:rPr>
          <w:rFonts w:eastAsia="Times New Roman" w:cs="Helvetica"/>
          <w:bCs/>
          <w:color w:val="333333"/>
        </w:rPr>
      </w:pPr>
      <w:r>
        <w:rPr>
          <w:rFonts w:eastAsia="Times New Roman" w:cs="Helvetica"/>
          <w:bCs/>
          <w:color w:val="333333"/>
        </w:rPr>
        <w:t xml:space="preserve">The code immediately preceding the performance indicator statement is the statement’s </w:t>
      </w:r>
      <w:r w:rsidRPr="00D3097A">
        <w:rPr>
          <w:rFonts w:eastAsia="Times New Roman" w:cs="Helvetica"/>
          <w:bCs/>
          <w:color w:val="333333"/>
        </w:rPr>
        <w:t xml:space="preserve">performance indicator </w:t>
      </w:r>
      <w:r w:rsidR="00CF4EFF" w:rsidRPr="00D3097A">
        <w:rPr>
          <w:rFonts w:eastAsia="Times New Roman" w:cs="Helvetica"/>
          <w:bCs/>
          <w:color w:val="333333"/>
        </w:rPr>
        <w:t>number</w:t>
      </w:r>
      <w:r w:rsidR="00900D26" w:rsidRPr="00D3097A">
        <w:rPr>
          <w:rFonts w:eastAsia="Times New Roman" w:cs="Helvetica"/>
          <w:bCs/>
          <w:color w:val="333333"/>
        </w:rPr>
        <w:t xml:space="preserve"> or code</w:t>
      </w:r>
      <w:r w:rsidRPr="00D3097A">
        <w:rPr>
          <w:rFonts w:eastAsia="Times New Roman" w:cs="Helvetica"/>
          <w:bCs/>
          <w:color w:val="333333"/>
        </w:rPr>
        <w:t xml:space="preserve"> (in this example, EC:070). </w:t>
      </w:r>
      <w:r w:rsidR="00CF4EFF" w:rsidRPr="00D3097A">
        <w:rPr>
          <w:rFonts w:eastAsia="Times New Roman" w:cs="Helvetica"/>
          <w:bCs/>
          <w:color w:val="333333"/>
        </w:rPr>
        <w:t xml:space="preserve">The performance indicator code is </w:t>
      </w:r>
      <w:r w:rsidR="00CF4EFF">
        <w:rPr>
          <w:rFonts w:eastAsia="Times New Roman" w:cs="Helvetica"/>
          <w:bCs/>
          <w:color w:val="333333"/>
        </w:rPr>
        <w:t>somewhat akin to a person’s social security number—a unique identifier used as shorthand for the longer full statement. MBA Research uses performance indicator codes most frequently to pull test questions from its test-item database.</w:t>
      </w:r>
      <w:r>
        <w:rPr>
          <w:rFonts w:eastAsia="Times New Roman" w:cs="Helvetica"/>
          <w:bCs/>
          <w:color w:val="333333"/>
        </w:rPr>
        <w:t xml:space="preserve"> </w:t>
      </w:r>
      <w:r w:rsidR="00CF4EFF">
        <w:rPr>
          <w:rFonts w:eastAsia="Times New Roman" w:cs="Helvetica"/>
          <w:bCs/>
          <w:color w:val="333333"/>
        </w:rPr>
        <w:t xml:space="preserve">Performance indicator </w:t>
      </w:r>
      <w:r w:rsidR="00900D26">
        <w:rPr>
          <w:rFonts w:eastAsia="Times New Roman" w:cs="Helvetica"/>
          <w:bCs/>
          <w:color w:val="333333"/>
        </w:rPr>
        <w:t xml:space="preserve">codes are often referenced on tests and in MBA Research’s curricular and instructional materials. The </w:t>
      </w:r>
      <w:r>
        <w:rPr>
          <w:rFonts w:eastAsia="Times New Roman" w:cs="Helvetica"/>
          <w:bCs/>
          <w:color w:val="333333"/>
        </w:rPr>
        <w:t xml:space="preserve">alpha-numeric </w:t>
      </w:r>
      <w:r w:rsidR="00900D26">
        <w:rPr>
          <w:rFonts w:eastAsia="Times New Roman" w:cs="Helvetica"/>
          <w:bCs/>
          <w:color w:val="333333"/>
        </w:rPr>
        <w:t xml:space="preserve">performance indicator </w:t>
      </w:r>
      <w:r>
        <w:rPr>
          <w:rFonts w:eastAsia="Times New Roman" w:cs="Helvetica"/>
          <w:bCs/>
          <w:color w:val="333333"/>
        </w:rPr>
        <w:t>code consists of:</w:t>
      </w:r>
    </w:p>
    <w:p w14:paraId="13D8B7AD" w14:textId="77777777" w:rsidR="00EA6B4E" w:rsidRDefault="00EA6B4E" w:rsidP="00EA6B4E">
      <w:pPr>
        <w:numPr>
          <w:ilvl w:val="0"/>
          <w:numId w:val="1"/>
        </w:numPr>
        <w:shd w:val="clear" w:color="auto" w:fill="FFFFFF"/>
        <w:spacing w:after="150" w:line="300" w:lineRule="atLeast"/>
        <w:ind w:left="360" w:right="-540"/>
        <w:rPr>
          <w:rFonts w:eastAsia="Times New Roman" w:cs="Helvetica"/>
          <w:bCs/>
          <w:color w:val="333333"/>
        </w:rPr>
      </w:pPr>
      <w:r>
        <w:rPr>
          <w:rFonts w:eastAsia="Times New Roman" w:cs="Helvetica"/>
          <w:bCs/>
          <w:color w:val="333333"/>
        </w:rPr>
        <w:t xml:space="preserve">A two-letter abbreviation for the instructional area in which the performance indicator </w:t>
      </w:r>
      <w:r w:rsidR="00900D26">
        <w:rPr>
          <w:rFonts w:eastAsia="Times New Roman" w:cs="Helvetica"/>
          <w:bCs/>
          <w:color w:val="333333"/>
        </w:rPr>
        <w:t>appears (e.g., EC, which stands for the Economics instructional area)</w:t>
      </w:r>
    </w:p>
    <w:p w14:paraId="7C0B14CD" w14:textId="0DC39659" w:rsidR="00900D26" w:rsidRDefault="00EA6B4E" w:rsidP="00900D26">
      <w:pPr>
        <w:numPr>
          <w:ilvl w:val="0"/>
          <w:numId w:val="1"/>
        </w:numPr>
        <w:shd w:val="clear" w:color="auto" w:fill="FFFFFF"/>
        <w:spacing w:after="150" w:line="300" w:lineRule="atLeast"/>
        <w:ind w:left="360" w:right="-540"/>
        <w:rPr>
          <w:rFonts w:eastAsia="Times New Roman" w:cs="Helvetica"/>
          <w:bCs/>
          <w:color w:val="333333"/>
        </w:rPr>
      </w:pPr>
      <w:r>
        <w:rPr>
          <w:rFonts w:eastAsia="Times New Roman" w:cs="Helvetica"/>
          <w:bCs/>
          <w:color w:val="333333"/>
        </w:rPr>
        <w:t xml:space="preserve">A </w:t>
      </w:r>
      <w:r w:rsidRPr="00900D26">
        <w:rPr>
          <w:rFonts w:eastAsia="Times New Roman" w:cs="Helvetica"/>
          <w:bCs/>
          <w:color w:val="333333"/>
          <w:u w:val="single"/>
        </w:rPr>
        <w:t>random</w:t>
      </w:r>
      <w:r w:rsidRPr="00EA6B4E">
        <w:rPr>
          <w:rFonts w:eastAsia="Times New Roman" w:cs="Helvetica"/>
          <w:bCs/>
          <w:color w:val="333333"/>
        </w:rPr>
        <w:t xml:space="preserve"> three-digit numeral</w:t>
      </w:r>
      <w:r w:rsidR="00900D26">
        <w:rPr>
          <w:rFonts w:eastAsia="Times New Roman" w:cs="Helvetica"/>
          <w:bCs/>
          <w:color w:val="333333"/>
        </w:rPr>
        <w:t xml:space="preserve"> (e.g., :070)</w:t>
      </w:r>
    </w:p>
    <w:p w14:paraId="5029FC13" w14:textId="77777777" w:rsidR="00D3097A" w:rsidRDefault="00D3097A" w:rsidP="00900D26">
      <w:pPr>
        <w:shd w:val="clear" w:color="auto" w:fill="FFFFFF"/>
        <w:spacing w:after="150" w:line="300" w:lineRule="atLeast"/>
        <w:ind w:left="-540" w:right="-540"/>
        <w:rPr>
          <w:rFonts w:eastAsia="Times New Roman" w:cs="Helvetica"/>
          <w:b/>
          <w:bCs/>
          <w:color w:val="333333"/>
        </w:rPr>
      </w:pPr>
      <w:r w:rsidRPr="00D3097A">
        <w:rPr>
          <w:rFonts w:eastAsia="Times New Roman" w:cs="Helvetica"/>
          <w:b/>
          <w:bCs/>
          <w:color w:val="333333"/>
        </w:rPr>
        <w:t>Curriculum Planning Level Code</w:t>
      </w:r>
    </w:p>
    <w:p w14:paraId="75B84BA0" w14:textId="77777777" w:rsidR="00900D26" w:rsidRDefault="00900D26" w:rsidP="00900D26">
      <w:pPr>
        <w:shd w:val="clear" w:color="auto" w:fill="FFFFFF"/>
        <w:spacing w:after="150" w:line="300" w:lineRule="atLeast"/>
        <w:ind w:left="-540" w:right="-540"/>
        <w:rPr>
          <w:rFonts w:eastAsia="Times New Roman" w:cs="Helvetica"/>
          <w:bCs/>
          <w:color w:val="333333"/>
        </w:rPr>
      </w:pPr>
      <w:r>
        <w:rPr>
          <w:rFonts w:eastAsia="Times New Roman" w:cs="Helvetica"/>
          <w:bCs/>
          <w:color w:val="333333"/>
        </w:rPr>
        <w:t xml:space="preserve">Every performance indicator statement is followed by a two-letter code in parentheses. This code identifies the </w:t>
      </w:r>
      <w:r w:rsidRPr="00D3097A">
        <w:rPr>
          <w:rFonts w:eastAsia="Times New Roman" w:cs="Helvetica"/>
          <w:bCs/>
          <w:color w:val="333333"/>
        </w:rPr>
        <w:t>curriculum-planning level to which</w:t>
      </w:r>
      <w:r>
        <w:rPr>
          <w:rFonts w:eastAsia="Times New Roman" w:cs="Helvetica"/>
          <w:bCs/>
          <w:color w:val="333333"/>
        </w:rPr>
        <w:t xml:space="preserve"> the performance indicator has been assigned. In our example, that code is CS, which means that this performance indicator is at the Career Sustaining level. (See Curriculum Planning Levels on page </w:t>
      </w:r>
      <w:r w:rsidR="00151921">
        <w:rPr>
          <w:rFonts w:eastAsia="Times New Roman" w:cs="Helvetica"/>
          <w:bCs/>
          <w:color w:val="333333"/>
        </w:rPr>
        <w:t xml:space="preserve">3 </w:t>
      </w:r>
      <w:r>
        <w:rPr>
          <w:rFonts w:eastAsia="Times New Roman" w:cs="Helvetica"/>
          <w:bCs/>
          <w:color w:val="333333"/>
        </w:rPr>
        <w:t>for more information.)</w:t>
      </w:r>
      <w:r w:rsidR="00E070AE" w:rsidRPr="00E070AE">
        <w:rPr>
          <w:noProof/>
        </w:rPr>
        <w:t xml:space="preserve"> </w:t>
      </w:r>
    </w:p>
    <w:p w14:paraId="3A3A3A74" w14:textId="77777777" w:rsidR="00D3097A" w:rsidRDefault="00D3097A" w:rsidP="00D3097A">
      <w:pPr>
        <w:shd w:val="clear" w:color="auto" w:fill="FFFFFF"/>
        <w:spacing w:after="150" w:line="300" w:lineRule="atLeast"/>
        <w:ind w:left="-540" w:right="-540"/>
        <w:rPr>
          <w:rFonts w:eastAsia="Times New Roman" w:cs="Helvetica"/>
          <w:b/>
          <w:bCs/>
          <w:color w:val="333333"/>
        </w:rPr>
      </w:pPr>
      <w:r w:rsidRPr="00D3097A">
        <w:rPr>
          <w:rFonts w:eastAsia="Times New Roman" w:cs="Helvetica"/>
          <w:b/>
          <w:bCs/>
          <w:color w:val="333333"/>
        </w:rPr>
        <w:t>LAP Number/Code</w:t>
      </w:r>
    </w:p>
    <w:p w14:paraId="66E13B65" w14:textId="77777777" w:rsidR="00C502E6" w:rsidRDefault="00900D26" w:rsidP="00D3097A">
      <w:pPr>
        <w:shd w:val="clear" w:color="auto" w:fill="FFFFFF"/>
        <w:spacing w:after="150" w:line="300" w:lineRule="atLeast"/>
        <w:ind w:left="-540" w:right="-540"/>
      </w:pPr>
      <w:r>
        <w:rPr>
          <w:rFonts w:eastAsia="Times New Roman" w:cs="Helvetica"/>
          <w:bCs/>
          <w:color w:val="333333"/>
        </w:rPr>
        <w:t>Many performance indicators are also follow</w:t>
      </w:r>
      <w:r w:rsidR="00E070AE">
        <w:rPr>
          <w:rFonts w:eastAsia="Times New Roman" w:cs="Helvetica"/>
          <w:bCs/>
          <w:color w:val="333333"/>
        </w:rPr>
        <w:t xml:space="preserve">ed by a code beginning with LAP (short for </w:t>
      </w:r>
      <w:r w:rsidR="00E070AE" w:rsidRPr="00900D26">
        <w:rPr>
          <w:rFonts w:eastAsia="Times New Roman" w:cs="Helvetica"/>
          <w:bCs/>
          <w:color w:val="333333"/>
          <w:u w:val="single"/>
        </w:rPr>
        <w:t>L</w:t>
      </w:r>
      <w:r w:rsidR="00E070AE">
        <w:rPr>
          <w:rFonts w:eastAsia="Times New Roman" w:cs="Helvetica"/>
          <w:bCs/>
          <w:color w:val="333333"/>
        </w:rPr>
        <w:t xml:space="preserve">earning </w:t>
      </w:r>
      <w:r w:rsidR="00E070AE" w:rsidRPr="00900D26">
        <w:rPr>
          <w:rFonts w:eastAsia="Times New Roman" w:cs="Helvetica"/>
          <w:bCs/>
          <w:color w:val="333333"/>
          <w:u w:val="single"/>
        </w:rPr>
        <w:t>A</w:t>
      </w:r>
      <w:r w:rsidR="00E070AE">
        <w:rPr>
          <w:rFonts w:eastAsia="Times New Roman" w:cs="Helvetica"/>
          <w:bCs/>
          <w:color w:val="333333"/>
        </w:rPr>
        <w:t xml:space="preserve">ctivity </w:t>
      </w:r>
      <w:r w:rsidR="00E070AE" w:rsidRPr="00900D26">
        <w:rPr>
          <w:rFonts w:eastAsia="Times New Roman" w:cs="Helvetica"/>
          <w:bCs/>
          <w:color w:val="333333"/>
          <w:u w:val="single"/>
        </w:rPr>
        <w:t>P</w:t>
      </w:r>
      <w:r w:rsidR="00E070AE">
        <w:rPr>
          <w:rFonts w:eastAsia="Times New Roman" w:cs="Helvetica"/>
          <w:bCs/>
          <w:color w:val="333333"/>
        </w:rPr>
        <w:t>ackage)</w:t>
      </w:r>
      <w:r>
        <w:rPr>
          <w:rFonts w:eastAsia="Times New Roman" w:cs="Helvetica"/>
          <w:bCs/>
          <w:color w:val="333333"/>
        </w:rPr>
        <w:t xml:space="preserve">, which indicates that MBA Research has developed a lesson module for that particular performance </w:t>
      </w:r>
      <w:r w:rsidRPr="00D3097A">
        <w:rPr>
          <w:rFonts w:eastAsia="Times New Roman" w:cs="Helvetica"/>
          <w:bCs/>
          <w:color w:val="333333"/>
        </w:rPr>
        <w:t xml:space="preserve">indicator. </w:t>
      </w:r>
      <w:r w:rsidR="00E070AE" w:rsidRPr="00D3097A">
        <w:rPr>
          <w:rFonts w:eastAsia="Times New Roman" w:cs="Helvetica"/>
          <w:bCs/>
          <w:color w:val="333333"/>
        </w:rPr>
        <w:t>The LAP number or code (e.g., LAP-EC</w:t>
      </w:r>
      <w:r w:rsidR="00E070AE">
        <w:rPr>
          <w:rFonts w:eastAsia="Times New Roman" w:cs="Helvetica"/>
          <w:bCs/>
          <w:color w:val="333333"/>
        </w:rPr>
        <w:t>-070) references the two-letter abbreviation for the instructional area, along with a three-digit number. Historically, the three-digit number in the LAP code indicated the order in which the LAPs for a particular instructional area were developed. MBA Research is currently transitioning, however, to a LAP numbering system in which the number appearing in the LAP code is the same as the number in the performance indicator code.</w:t>
      </w:r>
    </w:p>
    <w:sectPr w:rsidR="00C502E6" w:rsidSect="000643D2">
      <w:headerReference w:type="default" r:id="rId10"/>
      <w:footerReference w:type="default" r:id="rId11"/>
      <w:pgSz w:w="12240" w:h="15840"/>
      <w:pgMar w:top="1440" w:right="1440" w:bottom="1260" w:left="1440" w:header="720" w:footer="5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294E6" w14:textId="77777777" w:rsidR="00032BCB" w:rsidRDefault="00032BCB" w:rsidP="000643D2">
      <w:pPr>
        <w:spacing w:after="0" w:line="240" w:lineRule="auto"/>
      </w:pPr>
      <w:r>
        <w:separator/>
      </w:r>
    </w:p>
  </w:endnote>
  <w:endnote w:type="continuationSeparator" w:id="0">
    <w:p w14:paraId="5B702786" w14:textId="77777777" w:rsidR="00032BCB" w:rsidRDefault="00032BCB" w:rsidP="00064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A995" w14:textId="3864F807" w:rsidR="000643D2" w:rsidRPr="001F7A42" w:rsidRDefault="002415CF" w:rsidP="000643D2">
    <w:pPr>
      <w:pStyle w:val="Footer"/>
      <w:jc w:val="center"/>
      <w:rPr>
        <w:i/>
        <w:sz w:val="20"/>
      </w:rPr>
    </w:pPr>
    <w:r>
      <w:rPr>
        <w:sz w:val="20"/>
      </w:rPr>
      <w:t>© 20</w:t>
    </w:r>
    <w:r w:rsidR="005A45D5">
      <w:rPr>
        <w:sz w:val="20"/>
      </w:rPr>
      <w:t>2</w:t>
    </w:r>
    <w:r w:rsidR="0061465B">
      <w:rPr>
        <w:sz w:val="20"/>
      </w:rPr>
      <w:t>3</w:t>
    </w:r>
    <w:r w:rsidR="000643D2" w:rsidRPr="00F61576">
      <w:rPr>
        <w:sz w:val="20"/>
      </w:rPr>
      <w:t>, MBA Research and Curriculum 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CC8B8" w14:textId="77777777" w:rsidR="00032BCB" w:rsidRDefault="00032BCB" w:rsidP="000643D2">
      <w:pPr>
        <w:spacing w:after="0" w:line="240" w:lineRule="auto"/>
      </w:pPr>
      <w:r>
        <w:separator/>
      </w:r>
    </w:p>
  </w:footnote>
  <w:footnote w:type="continuationSeparator" w:id="0">
    <w:p w14:paraId="7E1C28E8" w14:textId="77777777" w:rsidR="00032BCB" w:rsidRDefault="00032BCB" w:rsidP="000643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9874942"/>
      <w:docPartObj>
        <w:docPartGallery w:val="Page Numbers (Top of Page)"/>
        <w:docPartUnique/>
      </w:docPartObj>
    </w:sdtPr>
    <w:sdtEndPr>
      <w:rPr>
        <w:noProof/>
      </w:rPr>
    </w:sdtEndPr>
    <w:sdtContent>
      <w:p w14:paraId="345B8111" w14:textId="7262AF25" w:rsidR="00D3097A" w:rsidRDefault="00D3097A">
        <w:pPr>
          <w:pStyle w:val="Header"/>
          <w:jc w:val="right"/>
        </w:pPr>
        <w:r>
          <w:fldChar w:fldCharType="begin"/>
        </w:r>
        <w:r>
          <w:instrText xml:space="preserve"> PAGE   \* MERGEFORMAT </w:instrText>
        </w:r>
        <w:r>
          <w:fldChar w:fldCharType="separate"/>
        </w:r>
        <w:r w:rsidR="005A45D5">
          <w:rPr>
            <w:noProof/>
          </w:rPr>
          <w:t>4</w:t>
        </w:r>
        <w:r>
          <w:rPr>
            <w:noProof/>
          </w:rPr>
          <w:fldChar w:fldCharType="end"/>
        </w:r>
      </w:p>
    </w:sdtContent>
  </w:sdt>
  <w:p w14:paraId="35732738" w14:textId="77777777" w:rsidR="00D3097A" w:rsidRDefault="00D309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51D4"/>
    <w:multiLevelType w:val="hybridMultilevel"/>
    <w:tmpl w:val="0860948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1E1B313A"/>
    <w:multiLevelType w:val="hybridMultilevel"/>
    <w:tmpl w:val="55A8A7D6"/>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2" w15:restartNumberingAfterBreak="0">
    <w:nsid w:val="2A500AF3"/>
    <w:multiLevelType w:val="hybridMultilevel"/>
    <w:tmpl w:val="6298DC0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F1E1E9A"/>
    <w:multiLevelType w:val="hybridMultilevel"/>
    <w:tmpl w:val="544AFDFC"/>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15:restartNumberingAfterBreak="0">
    <w:nsid w:val="3FAA2B99"/>
    <w:multiLevelType w:val="hybridMultilevel"/>
    <w:tmpl w:val="6B10E3C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4C2A335C"/>
    <w:multiLevelType w:val="hybridMultilevel"/>
    <w:tmpl w:val="220445A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52B651FB"/>
    <w:multiLevelType w:val="hybridMultilevel"/>
    <w:tmpl w:val="292E10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5815D5"/>
    <w:multiLevelType w:val="hybridMultilevel"/>
    <w:tmpl w:val="5DEC95E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 w15:restartNumberingAfterBreak="0">
    <w:nsid w:val="63BA1355"/>
    <w:multiLevelType w:val="hybridMultilevel"/>
    <w:tmpl w:val="95E28EF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9" w15:restartNumberingAfterBreak="0">
    <w:nsid w:val="664C3B5B"/>
    <w:multiLevelType w:val="hybridMultilevel"/>
    <w:tmpl w:val="C74EAD0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0" w15:restartNumberingAfterBreak="0">
    <w:nsid w:val="673953E1"/>
    <w:multiLevelType w:val="hybridMultilevel"/>
    <w:tmpl w:val="AC1E967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1" w15:restartNumberingAfterBreak="0">
    <w:nsid w:val="68FA7A0A"/>
    <w:multiLevelType w:val="hybridMultilevel"/>
    <w:tmpl w:val="6C28BC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83513349">
    <w:abstractNumId w:val="9"/>
  </w:num>
  <w:num w:numId="2" w16cid:durableId="2074307780">
    <w:abstractNumId w:val="0"/>
  </w:num>
  <w:num w:numId="3" w16cid:durableId="1598247378">
    <w:abstractNumId w:val="8"/>
  </w:num>
  <w:num w:numId="4" w16cid:durableId="1047725914">
    <w:abstractNumId w:val="1"/>
  </w:num>
  <w:num w:numId="5" w16cid:durableId="1960602066">
    <w:abstractNumId w:val="3"/>
  </w:num>
  <w:num w:numId="6" w16cid:durableId="1991127722">
    <w:abstractNumId w:val="5"/>
  </w:num>
  <w:num w:numId="7" w16cid:durableId="649480850">
    <w:abstractNumId w:val="4"/>
  </w:num>
  <w:num w:numId="8" w16cid:durableId="2021740191">
    <w:abstractNumId w:val="7"/>
  </w:num>
  <w:num w:numId="9" w16cid:durableId="994383939">
    <w:abstractNumId w:val="2"/>
  </w:num>
  <w:num w:numId="10" w16cid:durableId="493229057">
    <w:abstractNumId w:val="11"/>
  </w:num>
  <w:num w:numId="11" w16cid:durableId="644629789">
    <w:abstractNumId w:val="6"/>
  </w:num>
  <w:num w:numId="12" w16cid:durableId="3862211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A82"/>
    <w:rsid w:val="00032BCB"/>
    <w:rsid w:val="000643D2"/>
    <w:rsid w:val="00151921"/>
    <w:rsid w:val="00161C14"/>
    <w:rsid w:val="002415CF"/>
    <w:rsid w:val="00354A70"/>
    <w:rsid w:val="00371297"/>
    <w:rsid w:val="003745E7"/>
    <w:rsid w:val="00384A56"/>
    <w:rsid w:val="0038531A"/>
    <w:rsid w:val="0046762B"/>
    <w:rsid w:val="00473BF3"/>
    <w:rsid w:val="004C08D7"/>
    <w:rsid w:val="004F534E"/>
    <w:rsid w:val="005A45D5"/>
    <w:rsid w:val="0061465B"/>
    <w:rsid w:val="006B4560"/>
    <w:rsid w:val="006C48AE"/>
    <w:rsid w:val="008C0232"/>
    <w:rsid w:val="008E262B"/>
    <w:rsid w:val="00900D26"/>
    <w:rsid w:val="00953A82"/>
    <w:rsid w:val="00A151E6"/>
    <w:rsid w:val="00AB6598"/>
    <w:rsid w:val="00B730E2"/>
    <w:rsid w:val="00BB04C7"/>
    <w:rsid w:val="00BC0309"/>
    <w:rsid w:val="00BE6CE0"/>
    <w:rsid w:val="00C01BBF"/>
    <w:rsid w:val="00C502E6"/>
    <w:rsid w:val="00C8258E"/>
    <w:rsid w:val="00CF4EFF"/>
    <w:rsid w:val="00D3097A"/>
    <w:rsid w:val="00E037DF"/>
    <w:rsid w:val="00E070AE"/>
    <w:rsid w:val="00E179DE"/>
    <w:rsid w:val="00EA6B4E"/>
    <w:rsid w:val="00F25E31"/>
    <w:rsid w:val="00F9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93D0A"/>
  <w15:chartTrackingRefBased/>
  <w15:docId w15:val="{018CE1D4-B826-4032-B4A0-892D173BF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8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A82"/>
  </w:style>
  <w:style w:type="paragraph" w:styleId="Footer">
    <w:name w:val="footer"/>
    <w:basedOn w:val="Normal"/>
    <w:link w:val="FooterChar"/>
    <w:uiPriority w:val="99"/>
    <w:unhideWhenUsed/>
    <w:rsid w:val="00953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A82"/>
  </w:style>
  <w:style w:type="paragraph" w:styleId="BalloonText">
    <w:name w:val="Balloon Text"/>
    <w:basedOn w:val="Normal"/>
    <w:link w:val="BalloonTextChar"/>
    <w:uiPriority w:val="99"/>
    <w:semiHidden/>
    <w:unhideWhenUsed/>
    <w:rsid w:val="00151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921"/>
    <w:rPr>
      <w:rFonts w:ascii="Segoe UI" w:hAnsi="Segoe UI" w:cs="Segoe UI"/>
      <w:sz w:val="18"/>
      <w:szCs w:val="18"/>
    </w:rPr>
  </w:style>
  <w:style w:type="paragraph" w:styleId="ListParagraph">
    <w:name w:val="List Paragraph"/>
    <w:basedOn w:val="Normal"/>
    <w:uiPriority w:val="34"/>
    <w:qFormat/>
    <w:rsid w:val="00E037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E0243-07D3-49B5-A201-76F1B716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Miller</dc:creator>
  <cp:keywords/>
  <dc:description/>
  <cp:lastModifiedBy>Rachel Tennison</cp:lastModifiedBy>
  <cp:revision>4</cp:revision>
  <cp:lastPrinted>2018-07-17T19:27:00Z</cp:lastPrinted>
  <dcterms:created xsi:type="dcterms:W3CDTF">2022-11-14T17:34:00Z</dcterms:created>
  <dcterms:modified xsi:type="dcterms:W3CDTF">2022-11-14T19:29:00Z</dcterms:modified>
</cp:coreProperties>
</file>